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B8F1" w14:textId="77777777" w:rsidR="00E045B8" w:rsidRDefault="00E045B8" w:rsidP="00E045B8">
      <w:pPr>
        <w:jc w:val="center"/>
        <w:rPr>
          <w:b/>
          <w:bCs/>
        </w:rPr>
      </w:pPr>
    </w:p>
    <w:p w14:paraId="7FA7C1E6" w14:textId="77CBE0E3" w:rsidR="009E34E4" w:rsidRPr="001E4126" w:rsidRDefault="00E045B8" w:rsidP="00E045B8">
      <w:pPr>
        <w:jc w:val="center"/>
        <w:rPr>
          <w:color w:val="002060"/>
          <w:sz w:val="40"/>
          <w:szCs w:val="40"/>
        </w:rPr>
      </w:pPr>
      <w:r w:rsidRPr="001E4126">
        <w:rPr>
          <w:b/>
          <w:bCs/>
          <w:color w:val="002060"/>
          <w:sz w:val="40"/>
          <w:szCs w:val="40"/>
        </w:rPr>
        <w:t xml:space="preserve">The </w:t>
      </w:r>
      <w:r w:rsidR="001E4126">
        <w:rPr>
          <w:b/>
          <w:bCs/>
          <w:color w:val="002060"/>
          <w:sz w:val="40"/>
          <w:szCs w:val="40"/>
        </w:rPr>
        <w:t>‘duty of c</w:t>
      </w:r>
      <w:r w:rsidR="009E34E4" w:rsidRPr="001E4126">
        <w:rPr>
          <w:b/>
          <w:bCs/>
          <w:color w:val="002060"/>
          <w:sz w:val="40"/>
          <w:szCs w:val="40"/>
        </w:rPr>
        <w:t>andour</w:t>
      </w:r>
      <w:r w:rsidR="001E4126">
        <w:rPr>
          <w:b/>
          <w:bCs/>
          <w:color w:val="002060"/>
          <w:sz w:val="40"/>
          <w:szCs w:val="40"/>
        </w:rPr>
        <w:t>’</w:t>
      </w:r>
      <w:r w:rsidR="00036985">
        <w:rPr>
          <w:b/>
          <w:bCs/>
          <w:color w:val="002060"/>
          <w:sz w:val="40"/>
          <w:szCs w:val="40"/>
        </w:rPr>
        <w:t xml:space="preserve">: </w:t>
      </w:r>
      <w:r w:rsidR="001E4126">
        <w:rPr>
          <w:b/>
          <w:bCs/>
          <w:color w:val="002060"/>
          <w:sz w:val="40"/>
          <w:szCs w:val="40"/>
        </w:rPr>
        <w:t>y</w:t>
      </w:r>
      <w:r w:rsidR="001E4126" w:rsidRPr="001E4126">
        <w:rPr>
          <w:b/>
          <w:bCs/>
          <w:color w:val="002060"/>
          <w:sz w:val="40"/>
          <w:szCs w:val="40"/>
        </w:rPr>
        <w:t>our legal obligations</w:t>
      </w:r>
    </w:p>
    <w:p w14:paraId="61C69847" w14:textId="77777777" w:rsidR="00E045B8" w:rsidRDefault="00E045B8" w:rsidP="009E34E4">
      <w:pPr>
        <w:rPr>
          <w:b/>
        </w:rPr>
      </w:pPr>
    </w:p>
    <w:p w14:paraId="1ACCC239" w14:textId="32DD5E19" w:rsidR="00E045B8" w:rsidRPr="001E4126" w:rsidRDefault="006911FC" w:rsidP="009E34E4">
      <w:pPr>
        <w:rPr>
          <w:b/>
          <w:color w:val="002060"/>
        </w:rPr>
      </w:pPr>
      <w:r>
        <w:rPr>
          <w:b/>
          <w:color w:val="002060"/>
        </w:rPr>
        <w:t>The duty of candour</w:t>
      </w:r>
    </w:p>
    <w:p w14:paraId="3C43C3CC" w14:textId="77777777" w:rsidR="00713563" w:rsidRDefault="009E34E4" w:rsidP="009E34E4">
      <w:r>
        <w:t>T</w:t>
      </w:r>
      <w:r w:rsidRPr="009E34E4">
        <w:t xml:space="preserve">he </w:t>
      </w:r>
      <w:proofErr w:type="gramStart"/>
      <w:r w:rsidRPr="009E34E4">
        <w:t>Health</w:t>
      </w:r>
      <w:proofErr w:type="gramEnd"/>
      <w:r w:rsidRPr="009E34E4">
        <w:t xml:space="preserve"> (Tobacco, Nicotine etc. and Care) (Scotland) Act 2016 </w:t>
      </w:r>
      <w:r w:rsidR="009E43BE" w:rsidRPr="009E43BE">
        <w:t xml:space="preserve">(The Act) and The Duty of Candour Procedure (Scotland) Regulations 2018 </w:t>
      </w:r>
      <w:r w:rsidR="009E43BE">
        <w:t xml:space="preserve">(the Regulations) </w:t>
      </w:r>
      <w:r w:rsidR="009E43BE" w:rsidRPr="009E43BE">
        <w:t xml:space="preserve">set out </w:t>
      </w:r>
      <w:r w:rsidR="00713563">
        <w:t>a new Duty of Candour.</w:t>
      </w:r>
    </w:p>
    <w:p w14:paraId="0EBB40B4" w14:textId="77777777" w:rsidR="009E34E4" w:rsidRDefault="00713563" w:rsidP="009E34E4">
      <w:r>
        <w:t>The Act and the Regulations</w:t>
      </w:r>
      <w:r w:rsidR="009E43BE" w:rsidRPr="009E43BE">
        <w:t xml:space="preserve"> </w:t>
      </w:r>
      <w:r>
        <w:t>require</w:t>
      </w:r>
      <w:r w:rsidR="009E43BE" w:rsidRPr="009E43BE">
        <w:t xml:space="preserve"> organisations providing health services, care services and social work services in Scotland to follow </w:t>
      </w:r>
      <w:r>
        <w:t xml:space="preserve">a formalised procedure </w:t>
      </w:r>
      <w:r w:rsidR="009E43BE" w:rsidRPr="009E43BE">
        <w:t>when there has been an unintended or unexpected incident that results in death or harm (or additional treatment is required to prevent injury that would result in death or harm).</w:t>
      </w:r>
    </w:p>
    <w:p w14:paraId="40ADF9D4" w14:textId="77777777" w:rsidR="009E34E4" w:rsidRDefault="009E34E4" w:rsidP="009E34E4">
      <w:r w:rsidRPr="009E34E4">
        <w:t xml:space="preserve">The purpose of </w:t>
      </w:r>
      <w:r w:rsidR="00713563">
        <w:t>this</w:t>
      </w:r>
      <w:r w:rsidRPr="009E34E4">
        <w:t xml:space="preserve"> new duty is to ensure that </w:t>
      </w:r>
      <w:r>
        <w:t>providers</w:t>
      </w:r>
      <w:r w:rsidRPr="009E34E4">
        <w:t xml:space="preserve"> are </w:t>
      </w:r>
      <w:r w:rsidR="00E045B8">
        <w:t xml:space="preserve">open, honest, </w:t>
      </w:r>
      <w:proofErr w:type="gramStart"/>
      <w:r w:rsidR="00713563">
        <w:t>supportive</w:t>
      </w:r>
      <w:proofErr w:type="gramEnd"/>
      <w:r w:rsidR="00713563">
        <w:t xml:space="preserve"> and providing a person-centred approach</w:t>
      </w:r>
      <w:r w:rsidRPr="009E34E4">
        <w:t xml:space="preserve">. </w:t>
      </w:r>
    </w:p>
    <w:p w14:paraId="6D561BF2" w14:textId="77777777" w:rsidR="00E045B8" w:rsidRDefault="00E045B8" w:rsidP="00E045B8"/>
    <w:p w14:paraId="1B7AFC44" w14:textId="401E4357" w:rsidR="00E045B8" w:rsidRPr="001E4126" w:rsidRDefault="006911FC" w:rsidP="00E045B8">
      <w:pPr>
        <w:rPr>
          <w:b/>
          <w:color w:val="002060"/>
        </w:rPr>
      </w:pPr>
      <w:r>
        <w:rPr>
          <w:b/>
          <w:color w:val="002060"/>
        </w:rPr>
        <w:t>Your legal obligations</w:t>
      </w:r>
    </w:p>
    <w:p w14:paraId="2A560E6E" w14:textId="7B01B2A5" w:rsidR="00BF5F3C" w:rsidRPr="001D6C95" w:rsidRDefault="00BF5F3C" w:rsidP="001D6C95">
      <w:pPr>
        <w:pStyle w:val="ListParagraph"/>
        <w:numPr>
          <w:ilvl w:val="0"/>
          <w:numId w:val="8"/>
        </w:numPr>
        <w:rPr>
          <w:b/>
          <w:color w:val="002060"/>
          <w:u w:val="single"/>
        </w:rPr>
      </w:pPr>
      <w:r w:rsidRPr="001D6C95">
        <w:rPr>
          <w:b/>
          <w:color w:val="002060"/>
          <w:u w:val="single"/>
        </w:rPr>
        <w:t>Duty of Candour Procedure</w:t>
      </w:r>
    </w:p>
    <w:p w14:paraId="582C7F2A" w14:textId="37C8992B" w:rsidR="00E045B8" w:rsidRDefault="009E34E4" w:rsidP="00E045B8">
      <w:r>
        <w:t>A</w:t>
      </w:r>
      <w:r w:rsidR="001E4126">
        <w:t xml:space="preserve">s a </w:t>
      </w:r>
      <w:r>
        <w:t>provider of</w:t>
      </w:r>
      <w:r w:rsidR="001E4126">
        <w:t xml:space="preserve"> an</w:t>
      </w:r>
      <w:r>
        <w:t xml:space="preserve"> </w:t>
      </w:r>
      <w:r w:rsidR="001E4126">
        <w:t xml:space="preserve">independent health care </w:t>
      </w:r>
      <w:proofErr w:type="gramStart"/>
      <w:r w:rsidR="001E4126">
        <w:t>service</w:t>
      </w:r>
      <w:proofErr w:type="gramEnd"/>
      <w:r w:rsidR="001E4126">
        <w:t xml:space="preserve"> you </w:t>
      </w:r>
      <w:r w:rsidR="0010297D">
        <w:t xml:space="preserve">are required to </w:t>
      </w:r>
      <w:r w:rsidR="0010297D" w:rsidRPr="001E4126">
        <w:t xml:space="preserve">develop and implement a </w:t>
      </w:r>
      <w:r w:rsidR="00036985">
        <w:t>d</w:t>
      </w:r>
      <w:r w:rsidR="0010297D" w:rsidRPr="001E4126">
        <w:t xml:space="preserve">uty of </w:t>
      </w:r>
      <w:r w:rsidR="00036985">
        <w:t>c</w:t>
      </w:r>
      <w:r w:rsidR="0010297D" w:rsidRPr="001E4126">
        <w:t xml:space="preserve">andour </w:t>
      </w:r>
      <w:r w:rsidR="001D6C95">
        <w:t>policy</w:t>
      </w:r>
      <w:r w:rsidR="0010297D" w:rsidRPr="001E4126">
        <w:t xml:space="preserve"> </w:t>
      </w:r>
      <w:r w:rsidR="0010297D" w:rsidRPr="0010297D">
        <w:t xml:space="preserve">that </w:t>
      </w:r>
      <w:r w:rsidR="00E045B8">
        <w:t>describes how</w:t>
      </w:r>
      <w:r w:rsidR="0010297D" w:rsidRPr="0010297D">
        <w:t xml:space="preserve"> </w:t>
      </w:r>
      <w:r w:rsidR="002B4244">
        <w:t>you/</w:t>
      </w:r>
      <w:r w:rsidR="00713563">
        <w:t xml:space="preserve">your </w:t>
      </w:r>
      <w:r w:rsidR="002B4244">
        <w:t>staff</w:t>
      </w:r>
      <w:r w:rsidR="0010297D" w:rsidRPr="0010297D">
        <w:t xml:space="preserve"> will </w:t>
      </w:r>
      <w:r w:rsidR="00E045B8">
        <w:t>act</w:t>
      </w:r>
      <w:r w:rsidR="002B4244">
        <w:t xml:space="preserve"> in the event of an </w:t>
      </w:r>
      <w:r w:rsidR="00E045B8" w:rsidRPr="009E43BE">
        <w:t>unintended or unexpected incident that results in death or harm (or additional treatment is required to prevent injury that would result in death or harm).</w:t>
      </w:r>
    </w:p>
    <w:p w14:paraId="3E174C85" w14:textId="73C6FEA4" w:rsidR="0010297D" w:rsidRPr="0010297D" w:rsidRDefault="002B4244" w:rsidP="00713563">
      <w:r>
        <w:t>The</w:t>
      </w:r>
      <w:r w:rsidR="0010297D" w:rsidRPr="0010297D">
        <w:t xml:space="preserve"> </w:t>
      </w:r>
      <w:r w:rsidR="00713563">
        <w:t xml:space="preserve">key stages of the </w:t>
      </w:r>
      <w:r w:rsidR="00BF25DB">
        <w:t>policy</w:t>
      </w:r>
      <w:r w:rsidR="0010297D" w:rsidRPr="0010297D">
        <w:t xml:space="preserve"> must include</w:t>
      </w:r>
      <w:r w:rsidR="00BF25DB">
        <w:t xml:space="preserve"> the procedure you will follow to</w:t>
      </w:r>
      <w:r w:rsidR="0010297D" w:rsidRPr="0010297D">
        <w:t>:</w:t>
      </w:r>
    </w:p>
    <w:p w14:paraId="1EDF5120" w14:textId="4C83C12F" w:rsidR="009E43BE" w:rsidRPr="009E43BE" w:rsidRDefault="00BF25DB" w:rsidP="009E43BE">
      <w:pPr>
        <w:pStyle w:val="ListParagraph"/>
        <w:numPr>
          <w:ilvl w:val="0"/>
          <w:numId w:val="5"/>
        </w:numPr>
      </w:pPr>
      <w:r>
        <w:t>N</w:t>
      </w:r>
      <w:r w:rsidR="009E43BE" w:rsidRPr="009E43BE">
        <w:t>otify the person affected (or fami</w:t>
      </w:r>
      <w:r>
        <w:t>ly/relative where appropriate</w:t>
      </w:r>
      <w:proofErr w:type="gramStart"/>
      <w:r>
        <w:t>);</w:t>
      </w:r>
      <w:proofErr w:type="gramEnd"/>
    </w:p>
    <w:p w14:paraId="7838050C" w14:textId="3E31142C" w:rsidR="009E43BE" w:rsidRPr="009E43BE" w:rsidRDefault="00BF25DB" w:rsidP="009E43BE">
      <w:pPr>
        <w:pStyle w:val="ListParagraph"/>
        <w:numPr>
          <w:ilvl w:val="0"/>
          <w:numId w:val="5"/>
        </w:numPr>
      </w:pPr>
      <w:r>
        <w:t>Provide</w:t>
      </w:r>
      <w:r w:rsidR="009E43BE" w:rsidRPr="009E43BE">
        <w:t xml:space="preserve"> an </w:t>
      </w:r>
      <w:proofErr w:type="gramStart"/>
      <w:r w:rsidR="009E43BE" w:rsidRPr="009E43BE">
        <w:t>apolo</w:t>
      </w:r>
      <w:r>
        <w:t>gy;</w:t>
      </w:r>
      <w:proofErr w:type="gramEnd"/>
    </w:p>
    <w:p w14:paraId="1826A80E" w14:textId="4D07D716" w:rsidR="009E43BE" w:rsidRPr="009E43BE" w:rsidRDefault="00BF25DB" w:rsidP="009E43BE">
      <w:pPr>
        <w:pStyle w:val="ListParagraph"/>
        <w:numPr>
          <w:ilvl w:val="0"/>
          <w:numId w:val="5"/>
        </w:numPr>
      </w:pPr>
      <w:r>
        <w:t>C</w:t>
      </w:r>
      <w:r w:rsidR="009E43BE" w:rsidRPr="009E43BE">
        <w:t>arry out a review into the circums</w:t>
      </w:r>
      <w:r w:rsidR="00713563">
        <w:t xml:space="preserve">tances </w:t>
      </w:r>
      <w:r>
        <w:t xml:space="preserve">that led to the </w:t>
      </w:r>
      <w:proofErr w:type="gramStart"/>
      <w:r>
        <w:t>incident;</w:t>
      </w:r>
      <w:proofErr w:type="gramEnd"/>
    </w:p>
    <w:p w14:paraId="1E09DCF5" w14:textId="057BE542" w:rsidR="009E43BE" w:rsidRPr="009E43BE" w:rsidRDefault="00BF25DB" w:rsidP="009E43BE">
      <w:pPr>
        <w:pStyle w:val="ListParagraph"/>
        <w:numPr>
          <w:ilvl w:val="0"/>
          <w:numId w:val="5"/>
        </w:numPr>
      </w:pPr>
      <w:r>
        <w:t>O</w:t>
      </w:r>
      <w:r w:rsidR="009E43BE" w:rsidRPr="009E43BE">
        <w:t>ffer a meeting with the person affected and/or t</w:t>
      </w:r>
      <w:r>
        <w:t xml:space="preserve">heir family, where </w:t>
      </w:r>
      <w:proofErr w:type="gramStart"/>
      <w:r>
        <w:t>appropriate;</w:t>
      </w:r>
      <w:proofErr w:type="gramEnd"/>
    </w:p>
    <w:p w14:paraId="7B6E5B7F" w14:textId="6F5C8D11" w:rsidR="009E43BE" w:rsidRPr="009E43BE" w:rsidRDefault="00BF25DB" w:rsidP="009E43BE">
      <w:pPr>
        <w:pStyle w:val="ListParagraph"/>
        <w:numPr>
          <w:ilvl w:val="0"/>
          <w:numId w:val="5"/>
        </w:numPr>
      </w:pPr>
      <w:r>
        <w:t>Provide</w:t>
      </w:r>
      <w:r w:rsidR="009E43BE" w:rsidRPr="009E43BE">
        <w:t xml:space="preserve"> the person affected w</w:t>
      </w:r>
      <w:r>
        <w:t xml:space="preserve">ith an account of the </w:t>
      </w:r>
      <w:proofErr w:type="gramStart"/>
      <w:r>
        <w:t>incident;</w:t>
      </w:r>
      <w:proofErr w:type="gramEnd"/>
    </w:p>
    <w:p w14:paraId="53B915B1" w14:textId="33D17D0F" w:rsidR="009E43BE" w:rsidRPr="009E43BE" w:rsidRDefault="00BF25DB" w:rsidP="009E43BE">
      <w:pPr>
        <w:pStyle w:val="ListParagraph"/>
        <w:numPr>
          <w:ilvl w:val="0"/>
          <w:numId w:val="5"/>
        </w:numPr>
      </w:pPr>
      <w:r>
        <w:t xml:space="preserve">Provide </w:t>
      </w:r>
      <w:r w:rsidR="009E43BE" w:rsidRPr="009E43BE">
        <w:t>informa</w:t>
      </w:r>
      <w:r w:rsidR="00713563">
        <w:t>tion about further st</w:t>
      </w:r>
      <w:r>
        <w:t xml:space="preserve">eps </w:t>
      </w:r>
      <w:proofErr w:type="gramStart"/>
      <w:r>
        <w:t>taken;</w:t>
      </w:r>
      <w:proofErr w:type="gramEnd"/>
    </w:p>
    <w:p w14:paraId="7E81F932" w14:textId="4550ED9F" w:rsidR="00713563" w:rsidRDefault="00BF25DB" w:rsidP="00713563">
      <w:pPr>
        <w:pStyle w:val="ListParagraph"/>
        <w:numPr>
          <w:ilvl w:val="0"/>
          <w:numId w:val="5"/>
        </w:numPr>
      </w:pPr>
      <w:r>
        <w:t>Provide</w:t>
      </w:r>
      <w:r w:rsidR="009E43BE" w:rsidRPr="009E43BE">
        <w:t xml:space="preserve"> support to </w:t>
      </w:r>
      <w:r w:rsidR="00713563">
        <w:t>staff</w:t>
      </w:r>
      <w:r w:rsidR="009E43BE" w:rsidRPr="009E43BE">
        <w:t xml:space="preserve"> </w:t>
      </w:r>
      <w:r w:rsidR="0010297D" w:rsidRPr="0010297D">
        <w:t xml:space="preserve">notifying the person affected by the </w:t>
      </w:r>
      <w:proofErr w:type="gramStart"/>
      <w:r w:rsidR="0010297D" w:rsidRPr="0010297D">
        <w:t>incident</w:t>
      </w:r>
      <w:r>
        <w:t>;</w:t>
      </w:r>
      <w:proofErr w:type="gramEnd"/>
    </w:p>
    <w:p w14:paraId="5B41E175" w14:textId="0434E3AC" w:rsidR="00713563" w:rsidRPr="00713563" w:rsidRDefault="00BF25DB" w:rsidP="00713563">
      <w:pPr>
        <w:pStyle w:val="ListParagraph"/>
        <w:numPr>
          <w:ilvl w:val="0"/>
          <w:numId w:val="5"/>
        </w:numPr>
      </w:pPr>
      <w:r>
        <w:rPr>
          <w:rFonts w:cs="GGMNS U+ Clan"/>
          <w:color w:val="000000"/>
        </w:rPr>
        <w:t>Prepare</w:t>
      </w:r>
      <w:r w:rsidR="00713563" w:rsidRPr="00713563">
        <w:rPr>
          <w:rFonts w:cs="GGMNS U+ Clan"/>
          <w:color w:val="000000"/>
        </w:rPr>
        <w:t xml:space="preserve"> and publish</w:t>
      </w:r>
      <w:r>
        <w:rPr>
          <w:rFonts w:cs="GGMNS U+ Clan"/>
          <w:color w:val="000000"/>
        </w:rPr>
        <w:t xml:space="preserve"> </w:t>
      </w:r>
      <w:r w:rsidR="00713563" w:rsidRPr="00713563">
        <w:rPr>
          <w:rFonts w:cs="GGMNS U+ Clan"/>
          <w:color w:val="000000"/>
        </w:rPr>
        <w:t xml:space="preserve">an annual </w:t>
      </w:r>
      <w:r>
        <w:rPr>
          <w:rFonts w:cs="GGMNS U+ Clan"/>
          <w:color w:val="000000"/>
        </w:rPr>
        <w:t xml:space="preserve">duty of candour </w:t>
      </w:r>
      <w:r w:rsidR="00713563" w:rsidRPr="00713563">
        <w:rPr>
          <w:rFonts w:cs="GGMNS U+ Clan"/>
          <w:color w:val="000000"/>
        </w:rPr>
        <w:t>report</w:t>
      </w:r>
      <w:r>
        <w:rPr>
          <w:rFonts w:cs="GGMNS U+ Clan"/>
          <w:color w:val="000000"/>
        </w:rPr>
        <w:t xml:space="preserve"> (see below).</w:t>
      </w:r>
    </w:p>
    <w:p w14:paraId="09732DBC" w14:textId="5087E127" w:rsidR="002B4244" w:rsidRPr="009E34E4" w:rsidRDefault="002B4244" w:rsidP="002B4244">
      <w:r>
        <w:t xml:space="preserve">Further guidance </w:t>
      </w:r>
      <w:r w:rsidR="00A06CB6">
        <w:t xml:space="preserve">on when the duty must be implemented </w:t>
      </w:r>
      <w:r>
        <w:t xml:space="preserve">can be found </w:t>
      </w:r>
      <w:r w:rsidR="00713563">
        <w:t xml:space="preserve">in the Scottish Government </w:t>
      </w:r>
      <w:r w:rsidR="00A06CB6">
        <w:t xml:space="preserve">Duty of Candour </w:t>
      </w:r>
      <w:hyperlink r:id="rId11" w:history="1">
        <w:r w:rsidR="00A06CB6">
          <w:rPr>
            <w:rStyle w:val="Hyperlink"/>
          </w:rPr>
          <w:t>Guidance</w:t>
        </w:r>
      </w:hyperlink>
      <w:r w:rsidR="00A06CB6">
        <w:t xml:space="preserve"> </w:t>
      </w:r>
      <w:r w:rsidR="00713563">
        <w:t>and</w:t>
      </w:r>
      <w:r>
        <w:t xml:space="preserve"> the </w:t>
      </w:r>
      <w:r w:rsidR="00A06CB6">
        <w:t>dedicated</w:t>
      </w:r>
      <w:hyperlink r:id="rId12" w:history="1">
        <w:r w:rsidR="00A06CB6">
          <w:rPr>
            <w:rStyle w:val="Hyperlink"/>
          </w:rPr>
          <w:t xml:space="preserve"> webpage</w:t>
        </w:r>
      </w:hyperlink>
      <w:r>
        <w:t>.</w:t>
      </w:r>
    </w:p>
    <w:p w14:paraId="22AE2BD0" w14:textId="77777777" w:rsidR="00E045B8" w:rsidRDefault="00E045B8" w:rsidP="00E045B8"/>
    <w:p w14:paraId="23CDA993" w14:textId="77777777" w:rsidR="00036985" w:rsidRDefault="00036985" w:rsidP="001E4126">
      <w:pPr>
        <w:pStyle w:val="NoSpacing"/>
        <w:rPr>
          <w:b/>
          <w:color w:val="002060"/>
        </w:rPr>
      </w:pPr>
    </w:p>
    <w:p w14:paraId="23EF3995" w14:textId="77777777" w:rsidR="00036985" w:rsidRDefault="00036985" w:rsidP="001E4126">
      <w:pPr>
        <w:pStyle w:val="NoSpacing"/>
        <w:rPr>
          <w:b/>
          <w:color w:val="002060"/>
        </w:rPr>
      </w:pPr>
    </w:p>
    <w:p w14:paraId="2B80C00E" w14:textId="77777777" w:rsidR="00036985" w:rsidRDefault="00036985" w:rsidP="001E4126">
      <w:pPr>
        <w:pStyle w:val="NoSpacing"/>
        <w:rPr>
          <w:b/>
          <w:color w:val="002060"/>
        </w:rPr>
      </w:pPr>
    </w:p>
    <w:p w14:paraId="05549209" w14:textId="77777777" w:rsidR="00036985" w:rsidRDefault="00036985" w:rsidP="001E4126">
      <w:pPr>
        <w:pStyle w:val="NoSpacing"/>
        <w:rPr>
          <w:b/>
          <w:color w:val="002060"/>
        </w:rPr>
      </w:pPr>
    </w:p>
    <w:p w14:paraId="1873188C" w14:textId="77777777" w:rsidR="00036985" w:rsidRDefault="00036985" w:rsidP="001E4126">
      <w:pPr>
        <w:pStyle w:val="NoSpacing"/>
        <w:rPr>
          <w:b/>
          <w:color w:val="002060"/>
        </w:rPr>
      </w:pPr>
    </w:p>
    <w:p w14:paraId="12816BF5" w14:textId="77777777" w:rsidR="00036985" w:rsidRDefault="00036985" w:rsidP="001E4126">
      <w:pPr>
        <w:pStyle w:val="NoSpacing"/>
        <w:rPr>
          <w:b/>
          <w:color w:val="002060"/>
        </w:rPr>
      </w:pPr>
    </w:p>
    <w:p w14:paraId="3CC66A33" w14:textId="77777777" w:rsidR="00036985" w:rsidRDefault="00036985" w:rsidP="001E4126">
      <w:pPr>
        <w:pStyle w:val="NoSpacing"/>
        <w:rPr>
          <w:b/>
          <w:color w:val="002060"/>
        </w:rPr>
      </w:pPr>
    </w:p>
    <w:p w14:paraId="22E4EA7D" w14:textId="38FDB3DB" w:rsidR="00036985" w:rsidRPr="00036985" w:rsidRDefault="00036985" w:rsidP="001E4126">
      <w:pPr>
        <w:pStyle w:val="NoSpacing"/>
        <w:rPr>
          <w:b/>
          <w:color w:val="002060"/>
          <w:sz w:val="40"/>
          <w:szCs w:val="40"/>
        </w:rPr>
      </w:pPr>
      <w:r>
        <w:rPr>
          <w:b/>
          <w:color w:val="002060"/>
          <w:sz w:val="40"/>
          <w:szCs w:val="40"/>
        </w:rPr>
        <w:t>Guidance:</w:t>
      </w:r>
      <w:r w:rsidRPr="00036985">
        <w:rPr>
          <w:b/>
          <w:color w:val="002060"/>
          <w:sz w:val="40"/>
          <w:szCs w:val="40"/>
        </w:rPr>
        <w:t xml:space="preserve"> p</w:t>
      </w:r>
      <w:r w:rsidR="00BF25DB" w:rsidRPr="00036985">
        <w:rPr>
          <w:b/>
          <w:color w:val="002060"/>
          <w:sz w:val="40"/>
          <w:szCs w:val="40"/>
        </w:rPr>
        <w:t>oints to c</w:t>
      </w:r>
      <w:r w:rsidR="001E4126" w:rsidRPr="00036985">
        <w:rPr>
          <w:b/>
          <w:color w:val="002060"/>
          <w:sz w:val="40"/>
          <w:szCs w:val="40"/>
        </w:rPr>
        <w:t>onsider</w:t>
      </w:r>
      <w:r w:rsidR="00BF25DB" w:rsidRPr="00036985">
        <w:rPr>
          <w:b/>
          <w:color w:val="002060"/>
          <w:sz w:val="40"/>
          <w:szCs w:val="40"/>
        </w:rPr>
        <w:t xml:space="preserve"> when preparing your </w:t>
      </w:r>
      <w:r w:rsidRPr="00036985">
        <w:rPr>
          <w:b/>
          <w:color w:val="002060"/>
          <w:sz w:val="40"/>
          <w:szCs w:val="40"/>
        </w:rPr>
        <w:t xml:space="preserve">duty of candour </w:t>
      </w:r>
      <w:r w:rsidR="00974A75" w:rsidRPr="00036985">
        <w:rPr>
          <w:b/>
          <w:color w:val="002060"/>
          <w:sz w:val="40"/>
          <w:szCs w:val="40"/>
        </w:rPr>
        <w:t>procedure</w:t>
      </w:r>
      <w:r>
        <w:rPr>
          <w:b/>
          <w:color w:val="002060"/>
          <w:sz w:val="40"/>
          <w:szCs w:val="40"/>
        </w:rPr>
        <w:t xml:space="preserve"> and annual report</w:t>
      </w:r>
    </w:p>
    <w:p w14:paraId="7FCB3A93" w14:textId="28D2F36E" w:rsidR="00A06CB6" w:rsidRDefault="00A06CB6" w:rsidP="00036985">
      <w:pPr>
        <w:rPr>
          <w:b/>
          <w:color w:val="002060"/>
        </w:rPr>
      </w:pPr>
    </w:p>
    <w:p w14:paraId="7BA01DD8" w14:textId="3293084C" w:rsidR="001E4126" w:rsidRPr="00036985" w:rsidRDefault="00036985" w:rsidP="00036985">
      <w:pPr>
        <w:rPr>
          <w:b/>
          <w:color w:val="002060"/>
        </w:rPr>
      </w:pPr>
      <w:r w:rsidRPr="00036985">
        <w:rPr>
          <w:b/>
          <w:color w:val="002060"/>
        </w:rPr>
        <w:t>Preparing your duty of candour procedure</w:t>
      </w:r>
      <w:r w:rsidR="00A06CB6">
        <w:rPr>
          <w:b/>
          <w:color w:val="002060"/>
        </w:rPr>
        <w:t>*</w:t>
      </w:r>
    </w:p>
    <w:p w14:paraId="48A5E5CC" w14:textId="77777777" w:rsidR="001E4126" w:rsidRDefault="001E4126" w:rsidP="001E4126">
      <w:pPr>
        <w:pStyle w:val="ListParagraph"/>
        <w:numPr>
          <w:ilvl w:val="0"/>
          <w:numId w:val="7"/>
        </w:numPr>
      </w:pPr>
      <w:r>
        <w:t>How will you</w:t>
      </w:r>
      <w:r w:rsidRPr="009E34E4">
        <w:t xml:space="preserve"> identify the incidents that trigger the Duty of Candour procedure, as outlined in section 21? </w:t>
      </w:r>
    </w:p>
    <w:p w14:paraId="1F6DA68B" w14:textId="6EF3881F" w:rsidR="001E4126" w:rsidRDefault="001E4126" w:rsidP="001E4126">
      <w:pPr>
        <w:pStyle w:val="ListParagraph"/>
        <w:numPr>
          <w:ilvl w:val="0"/>
          <w:numId w:val="7"/>
        </w:numPr>
      </w:pPr>
      <w:r w:rsidRPr="009E34E4">
        <w:t xml:space="preserve">Have you satisfied yourself that you </w:t>
      </w:r>
      <w:r>
        <w:t>(and your staff</w:t>
      </w:r>
      <w:r w:rsidR="00BF5F3C">
        <w:t>, if you employ staff</w:t>
      </w:r>
      <w:r>
        <w:t xml:space="preserve">) </w:t>
      </w:r>
      <w:r w:rsidRPr="009E34E4">
        <w:t>understand your responsibilities and have systems in p</w:t>
      </w:r>
      <w:r>
        <w:t>lace to respond effectively?</w:t>
      </w:r>
    </w:p>
    <w:p w14:paraId="4C9AD765" w14:textId="77777777" w:rsidR="001E4126" w:rsidRDefault="001E4126" w:rsidP="001E4126">
      <w:pPr>
        <w:pStyle w:val="ListParagraph"/>
        <w:numPr>
          <w:ilvl w:val="0"/>
          <w:numId w:val="7"/>
        </w:numPr>
      </w:pPr>
      <w:r w:rsidRPr="009E34E4">
        <w:t>Who do you need to engage with to satisfy yourselves you can meet the responsibilities of the Duty and deliver the requi</w:t>
      </w:r>
      <w:r>
        <w:t>rements outlined in the Act?</w:t>
      </w:r>
    </w:p>
    <w:p w14:paraId="6B4620AB" w14:textId="77777777" w:rsidR="001E4126" w:rsidRDefault="001E4126" w:rsidP="001E4126">
      <w:pPr>
        <w:pStyle w:val="ListParagraph"/>
        <w:numPr>
          <w:ilvl w:val="0"/>
          <w:numId w:val="7"/>
        </w:numPr>
      </w:pPr>
      <w:r w:rsidRPr="009E34E4">
        <w:t>What systems do you have in place to support staff to provide an apology in a person-centred way and how do you support staf</w:t>
      </w:r>
      <w:r>
        <w:t>f to enable them to do this?</w:t>
      </w:r>
    </w:p>
    <w:p w14:paraId="7C603E4C" w14:textId="77777777" w:rsidR="001E4126" w:rsidRDefault="001E4126" w:rsidP="001E4126">
      <w:pPr>
        <w:pStyle w:val="ListParagraph"/>
        <w:numPr>
          <w:ilvl w:val="0"/>
          <w:numId w:val="7"/>
        </w:numPr>
      </w:pPr>
      <w:r w:rsidRPr="009E34E4">
        <w:t xml:space="preserve">Do your current systems and processes provide you with the information required to report on the Duty of Candour? </w:t>
      </w:r>
    </w:p>
    <w:p w14:paraId="1342E552" w14:textId="77777777" w:rsidR="001E4126" w:rsidRDefault="001E4126" w:rsidP="001E4126">
      <w:pPr>
        <w:pStyle w:val="ListParagraph"/>
        <w:numPr>
          <w:ilvl w:val="0"/>
          <w:numId w:val="7"/>
        </w:numPr>
      </w:pPr>
      <w:r w:rsidRPr="009E34E4">
        <w:t xml:space="preserve">How will you align </w:t>
      </w:r>
      <w:r>
        <w:t>your duty of candour</w:t>
      </w:r>
      <w:r w:rsidRPr="009E34E4">
        <w:t xml:space="preserve"> annual report with other reports you are required to provide</w:t>
      </w:r>
      <w:r>
        <w:t>,</w:t>
      </w:r>
      <w:r w:rsidRPr="009E34E4">
        <w:t xml:space="preserve"> such as feedback and complaints, significant events</w:t>
      </w:r>
      <w:r>
        <w:t xml:space="preserve"> reviews, case reviews etc.?</w:t>
      </w:r>
    </w:p>
    <w:p w14:paraId="08642A13" w14:textId="77777777" w:rsidR="001E4126" w:rsidRDefault="001E4126" w:rsidP="001E4126">
      <w:pPr>
        <w:pStyle w:val="ListParagraph"/>
        <w:numPr>
          <w:ilvl w:val="0"/>
          <w:numId w:val="7"/>
        </w:numPr>
      </w:pPr>
      <w:r w:rsidRPr="009E34E4">
        <w:t xml:space="preserve">What training and education do you have at present that will support the implementation of the Duty? This could be training that considers issues such as how to give an apology, being open, meetings with families, dealing with difficult situations. You should also consider national training that is available freely to your staff such </w:t>
      </w:r>
      <w:r>
        <w:t>as e-learning opportunities.</w:t>
      </w:r>
    </w:p>
    <w:p w14:paraId="05AEBF9F" w14:textId="77777777" w:rsidR="001E4126" w:rsidRDefault="001E4126" w:rsidP="001E4126">
      <w:pPr>
        <w:pStyle w:val="ListParagraph"/>
        <w:numPr>
          <w:ilvl w:val="0"/>
          <w:numId w:val="7"/>
        </w:numPr>
      </w:pPr>
      <w:r w:rsidRPr="009E34E4">
        <w:t>What support do you have available for people involved in invoking the procedure (staff) and those affected (staff and service users)?</w:t>
      </w:r>
    </w:p>
    <w:p w14:paraId="1BF9EA64" w14:textId="77777777" w:rsidR="001E4126" w:rsidRDefault="001E4126" w:rsidP="001E4126">
      <w:pPr>
        <w:pStyle w:val="ListParagraph"/>
        <w:numPr>
          <w:ilvl w:val="0"/>
          <w:numId w:val="7"/>
        </w:numPr>
      </w:pPr>
      <w:r w:rsidRPr="009E34E4">
        <w:t>How do you currently share lessons learned and best practice around incidents of harm? Could this be improved in any way?</w:t>
      </w:r>
    </w:p>
    <w:p w14:paraId="67A72B97" w14:textId="5C1D87D7" w:rsidR="00A06CB6" w:rsidRDefault="00A06CB6" w:rsidP="00036985">
      <w:pPr>
        <w:rPr>
          <w:b/>
          <w:color w:val="002060"/>
        </w:rPr>
      </w:pPr>
      <w:r w:rsidRPr="00A06CB6">
        <w:rPr>
          <w:i/>
          <w:sz w:val="20"/>
          <w:szCs w:val="20"/>
        </w:rPr>
        <w:t>*Please refer to the</w:t>
      </w:r>
      <w:r>
        <w:rPr>
          <w:i/>
          <w:sz w:val="20"/>
          <w:szCs w:val="20"/>
        </w:rPr>
        <w:t xml:space="preserve"> Duty of Candour</w:t>
      </w:r>
      <w:r w:rsidRPr="00A06CB6">
        <w:rPr>
          <w:i/>
          <w:sz w:val="20"/>
          <w:szCs w:val="20"/>
        </w:rPr>
        <w:t xml:space="preserve"> </w:t>
      </w:r>
      <w:hyperlink r:id="rId13" w:history="1">
        <w:r>
          <w:rPr>
            <w:rStyle w:val="Hyperlink"/>
            <w:i/>
            <w:sz w:val="20"/>
            <w:szCs w:val="20"/>
          </w:rPr>
          <w:t>Guidance</w:t>
        </w:r>
      </w:hyperlink>
      <w:r w:rsidRPr="00A06CB6">
        <w:rPr>
          <w:i/>
          <w:sz w:val="20"/>
          <w:szCs w:val="20"/>
        </w:rPr>
        <w:t xml:space="preserve"> for more detailed guidance.</w:t>
      </w:r>
    </w:p>
    <w:p w14:paraId="7B573873" w14:textId="77777777" w:rsidR="00CD6036" w:rsidRDefault="00CD6036" w:rsidP="00036985">
      <w:pPr>
        <w:rPr>
          <w:b/>
          <w:color w:val="002060"/>
        </w:rPr>
      </w:pPr>
    </w:p>
    <w:p w14:paraId="5A9054E6" w14:textId="77777777" w:rsidR="00EB2DE3" w:rsidRDefault="00EB2DE3" w:rsidP="00036985">
      <w:pPr>
        <w:rPr>
          <w:b/>
          <w:color w:val="002060"/>
        </w:rPr>
      </w:pPr>
    </w:p>
    <w:p w14:paraId="4944BD9B" w14:textId="412E6C3F" w:rsidR="00036985" w:rsidRPr="006911FC" w:rsidRDefault="00BF5F3C" w:rsidP="00036985">
      <w:pPr>
        <w:rPr>
          <w:b/>
          <w:color w:val="002060"/>
        </w:rPr>
      </w:pPr>
      <w:r>
        <w:rPr>
          <w:b/>
          <w:color w:val="002060"/>
        </w:rPr>
        <w:t xml:space="preserve">2. </w:t>
      </w:r>
      <w:r w:rsidR="00036985">
        <w:rPr>
          <w:b/>
          <w:color w:val="002060"/>
        </w:rPr>
        <w:t xml:space="preserve"> </w:t>
      </w:r>
      <w:r w:rsidRPr="001D6C95">
        <w:rPr>
          <w:b/>
          <w:color w:val="002060"/>
          <w:u w:val="single"/>
        </w:rPr>
        <w:t>D</w:t>
      </w:r>
      <w:r w:rsidR="00036985" w:rsidRPr="001D6C95">
        <w:rPr>
          <w:b/>
          <w:color w:val="002060"/>
          <w:u w:val="single"/>
        </w:rPr>
        <w:t>uty of candour annual report</w:t>
      </w:r>
      <w:r w:rsidR="00036985" w:rsidRPr="006911FC">
        <w:rPr>
          <w:b/>
          <w:color w:val="002060"/>
        </w:rPr>
        <w:t xml:space="preserve"> </w:t>
      </w:r>
    </w:p>
    <w:p w14:paraId="7559F5CA" w14:textId="0854D448" w:rsidR="00EB2DE3" w:rsidRDefault="00036985" w:rsidP="00036985">
      <w:r w:rsidRPr="00CD6036">
        <w:rPr>
          <w:rFonts w:ascii="Calibri" w:hAnsi="Calibri"/>
        </w:rPr>
        <w:t>You must prepare and publish</w:t>
      </w:r>
      <w:r w:rsidR="00CD6036" w:rsidRPr="00CD6036">
        <w:rPr>
          <w:rFonts w:ascii="Calibri" w:hAnsi="Calibri"/>
        </w:rPr>
        <w:t xml:space="preserve"> </w:t>
      </w:r>
      <w:r w:rsidRPr="00CD6036">
        <w:rPr>
          <w:rFonts w:ascii="Calibri" w:hAnsi="Calibri"/>
        </w:rPr>
        <w:t xml:space="preserve">a duty of candour report at the end of each financial year, providing information about when and where you have applied the duty of candour. </w:t>
      </w:r>
      <w:r w:rsidR="00CD6036" w:rsidRPr="00CD6036">
        <w:rPr>
          <w:rFonts w:ascii="Calibri" w:hAnsi="Calibri"/>
        </w:rPr>
        <w:t xml:space="preserve">Your annual report </w:t>
      </w:r>
      <w:r w:rsidR="00CD6036" w:rsidRPr="00CD6036">
        <w:rPr>
          <w:rFonts w:ascii="Calibri" w:hAnsi="Calibri" w:cs="Arial"/>
          <w:color w:val="000000"/>
        </w:rPr>
        <w:t>should be published on your website, if you have one, or make other suitable arrangements to communicate the duty of candour report to people who use your services</w:t>
      </w:r>
      <w:r w:rsidR="00EB2DE3">
        <w:rPr>
          <w:rFonts w:ascii="Calibri" w:hAnsi="Calibri" w:cs="Arial"/>
          <w:color w:val="000000"/>
        </w:rPr>
        <w:t>.</w:t>
      </w:r>
    </w:p>
    <w:p w14:paraId="4CC71DA4" w14:textId="3DE441D4" w:rsidR="00036985" w:rsidRDefault="00036985" w:rsidP="00036985">
      <w:r>
        <w:t xml:space="preserve">Your first annual report must be </w:t>
      </w:r>
      <w:r w:rsidR="006808D7">
        <w:t>prepared</w:t>
      </w:r>
      <w:r>
        <w:t xml:space="preserve"> in April 2019, so it</w:t>
      </w:r>
      <w:r w:rsidRPr="009C7311">
        <w:t xml:space="preserve"> is important to start planning for this now. To help you we </w:t>
      </w:r>
      <w:r>
        <w:t>have</w:t>
      </w:r>
      <w:r w:rsidRPr="009C7311">
        <w:t xml:space="preserve"> provide</w:t>
      </w:r>
      <w:r>
        <w:t>d a</w:t>
      </w:r>
      <w:r w:rsidRPr="009C7311">
        <w:t xml:space="preserve"> report template </w:t>
      </w:r>
      <w:r>
        <w:t>(below) for you to</w:t>
      </w:r>
      <w:r w:rsidRPr="009C7311">
        <w:t xml:space="preserve"> </w:t>
      </w:r>
      <w:r>
        <w:t xml:space="preserve">use/adapt. </w:t>
      </w:r>
    </w:p>
    <w:p w14:paraId="0DC90A47" w14:textId="77777777" w:rsidR="00036985" w:rsidRPr="00036985" w:rsidRDefault="00036985" w:rsidP="00036985">
      <w:pPr>
        <w:rPr>
          <w:sz w:val="20"/>
          <w:szCs w:val="20"/>
        </w:rPr>
      </w:pPr>
      <w:r w:rsidRPr="00036985">
        <w:rPr>
          <w:b/>
          <w:sz w:val="20"/>
          <w:szCs w:val="20"/>
        </w:rPr>
        <w:t>NB</w:t>
      </w:r>
      <w:r w:rsidRPr="00036985">
        <w:rPr>
          <w:sz w:val="20"/>
          <w:szCs w:val="20"/>
        </w:rPr>
        <w:t xml:space="preserve">: </w:t>
      </w:r>
      <w:r w:rsidRPr="00036985">
        <w:rPr>
          <w:i/>
          <w:sz w:val="20"/>
          <w:szCs w:val="20"/>
        </w:rPr>
        <w:t xml:space="preserve">Even if you do not implement the duty of candour procedure </w:t>
      </w:r>
      <w:proofErr w:type="gramStart"/>
      <w:r w:rsidRPr="00036985">
        <w:rPr>
          <w:i/>
          <w:sz w:val="20"/>
          <w:szCs w:val="20"/>
        </w:rPr>
        <w:t>in a given year</w:t>
      </w:r>
      <w:proofErr w:type="gramEnd"/>
      <w:r w:rsidRPr="00036985">
        <w:rPr>
          <w:i/>
          <w:sz w:val="20"/>
          <w:szCs w:val="20"/>
        </w:rPr>
        <w:t>, you are still required to produce a short report that contains information about staff training on the duty of candour obligations.</w:t>
      </w:r>
      <w:r w:rsidRPr="00036985">
        <w:rPr>
          <w:sz w:val="20"/>
          <w:szCs w:val="20"/>
        </w:rPr>
        <w:t xml:space="preserve"> </w:t>
      </w:r>
    </w:p>
    <w:p w14:paraId="3BB33BA9" w14:textId="77777777" w:rsidR="00EB2DE3" w:rsidRDefault="00EB2DE3">
      <w:pPr>
        <w:rPr>
          <w:b/>
          <w:color w:val="002060"/>
          <w:sz w:val="40"/>
          <w:szCs w:val="40"/>
        </w:rPr>
      </w:pPr>
      <w:r>
        <w:rPr>
          <w:b/>
          <w:color w:val="002060"/>
          <w:sz w:val="40"/>
          <w:szCs w:val="40"/>
        </w:rPr>
        <w:br w:type="page"/>
      </w:r>
    </w:p>
    <w:p w14:paraId="2CE36CA4" w14:textId="1737332E" w:rsidR="008222AB" w:rsidRPr="008222AB" w:rsidRDefault="00974A75" w:rsidP="008222AB">
      <w:pPr>
        <w:jc w:val="center"/>
        <w:rPr>
          <w:b/>
          <w:color w:val="002060"/>
          <w:sz w:val="40"/>
          <w:szCs w:val="40"/>
        </w:rPr>
      </w:pPr>
      <w:r w:rsidRPr="00974A75">
        <w:rPr>
          <w:b/>
          <w:color w:val="002060"/>
          <w:sz w:val="40"/>
          <w:szCs w:val="40"/>
        </w:rPr>
        <w:lastRenderedPageBreak/>
        <w:t xml:space="preserve">Duty of Candour </w:t>
      </w:r>
      <w:r>
        <w:rPr>
          <w:b/>
          <w:color w:val="002060"/>
          <w:sz w:val="40"/>
          <w:szCs w:val="40"/>
        </w:rPr>
        <w:t xml:space="preserve">Annual </w:t>
      </w:r>
      <w:r w:rsidRPr="00974A75">
        <w:rPr>
          <w:b/>
          <w:color w:val="002060"/>
          <w:sz w:val="40"/>
          <w:szCs w:val="40"/>
        </w:rPr>
        <w:t>Report</w:t>
      </w:r>
      <w:r w:rsidR="00BF5F3C">
        <w:rPr>
          <w:b/>
          <w:color w:val="002060"/>
          <w:sz w:val="40"/>
          <w:szCs w:val="40"/>
        </w:rPr>
        <w:t xml:space="preserve"> Template</w:t>
      </w:r>
    </w:p>
    <w:p w14:paraId="0AD68654" w14:textId="3644D21A" w:rsidR="008222AB" w:rsidRPr="008A3780" w:rsidRDefault="008222AB" w:rsidP="008222AB">
      <w:pPr>
        <w:pStyle w:val="CommentText"/>
        <w:rPr>
          <w:sz w:val="22"/>
        </w:rPr>
      </w:pPr>
      <w:r w:rsidRPr="008A3780">
        <w:rPr>
          <w:sz w:val="22"/>
        </w:rPr>
        <w:t>Every healthcare professional must be open and honest with patients when something that goes wrong with their treatment or care causes, or has the potential to cause, harm or distress.</w:t>
      </w:r>
      <w:r w:rsidR="00D43173" w:rsidRPr="008A3780">
        <w:rPr>
          <w:sz w:val="22"/>
        </w:rPr>
        <w:t xml:space="preserve"> Services</w:t>
      </w:r>
      <w:r w:rsidRPr="008A3780">
        <w:rPr>
          <w:sz w:val="22"/>
        </w:rPr>
        <w:t xml:space="preserve"> must tell the pati</w:t>
      </w:r>
      <w:r w:rsidR="00D43173" w:rsidRPr="008A3780">
        <w:rPr>
          <w:sz w:val="22"/>
        </w:rPr>
        <w:t>ent, apologise</w:t>
      </w:r>
      <w:r w:rsidRPr="008A3780">
        <w:rPr>
          <w:sz w:val="22"/>
        </w:rPr>
        <w:t xml:space="preserve">, offer appropriate </w:t>
      </w:r>
      <w:proofErr w:type="gramStart"/>
      <w:r w:rsidRPr="008A3780">
        <w:rPr>
          <w:sz w:val="22"/>
        </w:rPr>
        <w:t>remedy</w:t>
      </w:r>
      <w:proofErr w:type="gramEnd"/>
      <w:r w:rsidRPr="008A3780">
        <w:rPr>
          <w:sz w:val="22"/>
        </w:rPr>
        <w:t xml:space="preserve"> or support and fully explain the effects to the patient. </w:t>
      </w:r>
    </w:p>
    <w:p w14:paraId="7E555644" w14:textId="0068CD0D" w:rsidR="008222AB" w:rsidRPr="008A3780" w:rsidRDefault="008222AB" w:rsidP="008222AB">
      <w:pPr>
        <w:pStyle w:val="CommentText"/>
        <w:rPr>
          <w:sz w:val="22"/>
        </w:rPr>
      </w:pPr>
      <w:r w:rsidRPr="008A3780">
        <w:rPr>
          <w:sz w:val="22"/>
        </w:rPr>
        <w:t xml:space="preserve">As part of our responsibilities, we must produce an annual report to provide a summary of the number of times we have trigger duty of Candour within our service. </w:t>
      </w:r>
    </w:p>
    <w:tbl>
      <w:tblPr>
        <w:tblStyle w:val="TableGrid"/>
        <w:tblW w:w="9924" w:type="dxa"/>
        <w:tblInd w:w="-431" w:type="dxa"/>
        <w:tblLook w:val="04A0" w:firstRow="1" w:lastRow="0" w:firstColumn="1" w:lastColumn="0" w:noHBand="0" w:noVBand="1"/>
      </w:tblPr>
      <w:tblGrid>
        <w:gridCol w:w="3545"/>
        <w:gridCol w:w="2951"/>
        <w:gridCol w:w="3428"/>
      </w:tblGrid>
      <w:tr w:rsidR="006911FC" w:rsidRPr="00974A75" w14:paraId="08BE80B3" w14:textId="77777777" w:rsidTr="00FB63FE">
        <w:tc>
          <w:tcPr>
            <w:tcW w:w="3545" w:type="dxa"/>
            <w:shd w:val="clear" w:color="auto" w:fill="DEEAF6" w:themeFill="accent1" w:themeFillTint="33"/>
          </w:tcPr>
          <w:p w14:paraId="366ED61F" w14:textId="77777777" w:rsidR="00A06CB6" w:rsidRDefault="00A06CB6">
            <w:pPr>
              <w:rPr>
                <w:sz w:val="20"/>
                <w:szCs w:val="20"/>
              </w:rPr>
            </w:pPr>
          </w:p>
          <w:p w14:paraId="55193994" w14:textId="77777777" w:rsidR="006911FC" w:rsidRDefault="00974A75">
            <w:pPr>
              <w:rPr>
                <w:sz w:val="20"/>
                <w:szCs w:val="20"/>
              </w:rPr>
            </w:pPr>
            <w:r w:rsidRPr="00974A75">
              <w:rPr>
                <w:sz w:val="20"/>
                <w:szCs w:val="20"/>
              </w:rPr>
              <w:t>Name &amp; address of service:</w:t>
            </w:r>
          </w:p>
          <w:p w14:paraId="68E6E464" w14:textId="3DECDDAA" w:rsidR="00A06CB6" w:rsidRPr="00974A75" w:rsidRDefault="00A06CB6">
            <w:pPr>
              <w:rPr>
                <w:sz w:val="20"/>
                <w:szCs w:val="20"/>
              </w:rPr>
            </w:pPr>
          </w:p>
        </w:tc>
        <w:tc>
          <w:tcPr>
            <w:tcW w:w="6379" w:type="dxa"/>
            <w:gridSpan w:val="2"/>
          </w:tcPr>
          <w:p w14:paraId="6300F2C8" w14:textId="77777777" w:rsidR="00974A75" w:rsidRDefault="00974A75">
            <w:pPr>
              <w:rPr>
                <w:sz w:val="20"/>
                <w:szCs w:val="20"/>
              </w:rPr>
            </w:pPr>
          </w:p>
          <w:p w14:paraId="7CD4BF5E" w14:textId="3A596153" w:rsidR="00A06CB6" w:rsidRPr="00974A75" w:rsidRDefault="009E53B8">
            <w:pPr>
              <w:rPr>
                <w:sz w:val="20"/>
                <w:szCs w:val="20"/>
              </w:rPr>
            </w:pPr>
            <w:r>
              <w:rPr>
                <w:sz w:val="20"/>
                <w:szCs w:val="20"/>
              </w:rPr>
              <w:t>Est-Ethics Wellness Clinic</w:t>
            </w:r>
          </w:p>
        </w:tc>
      </w:tr>
      <w:tr w:rsidR="00B46956" w:rsidRPr="00974A75" w14:paraId="38DBF774" w14:textId="77777777" w:rsidTr="00FB63FE">
        <w:tc>
          <w:tcPr>
            <w:tcW w:w="3545" w:type="dxa"/>
            <w:shd w:val="clear" w:color="auto" w:fill="DEEAF6" w:themeFill="accent1" w:themeFillTint="33"/>
          </w:tcPr>
          <w:p w14:paraId="223A476E" w14:textId="77777777" w:rsidR="00A06CB6" w:rsidRDefault="00A06CB6">
            <w:pPr>
              <w:rPr>
                <w:sz w:val="20"/>
                <w:szCs w:val="20"/>
              </w:rPr>
            </w:pPr>
          </w:p>
          <w:p w14:paraId="43C2C632" w14:textId="77777777" w:rsidR="00B46956" w:rsidRDefault="00B46956">
            <w:pPr>
              <w:rPr>
                <w:sz w:val="20"/>
                <w:szCs w:val="20"/>
              </w:rPr>
            </w:pPr>
            <w:r>
              <w:rPr>
                <w:sz w:val="20"/>
                <w:szCs w:val="20"/>
              </w:rPr>
              <w:t>Date of report:</w:t>
            </w:r>
          </w:p>
          <w:p w14:paraId="78839C61" w14:textId="69B0E6CB" w:rsidR="00A06CB6" w:rsidRPr="00974A75" w:rsidRDefault="00A06CB6">
            <w:pPr>
              <w:rPr>
                <w:sz w:val="20"/>
                <w:szCs w:val="20"/>
              </w:rPr>
            </w:pPr>
          </w:p>
        </w:tc>
        <w:tc>
          <w:tcPr>
            <w:tcW w:w="6379" w:type="dxa"/>
            <w:gridSpan w:val="2"/>
          </w:tcPr>
          <w:p w14:paraId="6C133B6F" w14:textId="7D4FB330" w:rsidR="00B46956" w:rsidRPr="00974A75" w:rsidRDefault="00915D46">
            <w:pPr>
              <w:rPr>
                <w:sz w:val="20"/>
                <w:szCs w:val="20"/>
              </w:rPr>
            </w:pPr>
            <w:r>
              <w:rPr>
                <w:sz w:val="20"/>
                <w:szCs w:val="20"/>
              </w:rPr>
              <w:t>01</w:t>
            </w:r>
            <w:r w:rsidR="009E53B8">
              <w:rPr>
                <w:sz w:val="20"/>
                <w:szCs w:val="20"/>
              </w:rPr>
              <w:t>/</w:t>
            </w:r>
            <w:r>
              <w:rPr>
                <w:sz w:val="20"/>
                <w:szCs w:val="20"/>
              </w:rPr>
              <w:t>04</w:t>
            </w:r>
            <w:r w:rsidR="009E53B8">
              <w:rPr>
                <w:sz w:val="20"/>
                <w:szCs w:val="20"/>
              </w:rPr>
              <w:t>/2</w:t>
            </w:r>
            <w:r w:rsidR="00595851">
              <w:rPr>
                <w:sz w:val="20"/>
                <w:szCs w:val="20"/>
              </w:rPr>
              <w:t>3</w:t>
            </w:r>
          </w:p>
        </w:tc>
      </w:tr>
      <w:tr w:rsidR="00974A75" w:rsidRPr="00974A75" w14:paraId="0D52BF0E" w14:textId="77777777" w:rsidTr="00FB63FE">
        <w:tc>
          <w:tcPr>
            <w:tcW w:w="3545" w:type="dxa"/>
            <w:shd w:val="clear" w:color="auto" w:fill="DEEAF6" w:themeFill="accent1" w:themeFillTint="33"/>
          </w:tcPr>
          <w:p w14:paraId="3538421B" w14:textId="77777777" w:rsidR="00A06CB6" w:rsidRDefault="00974A75" w:rsidP="00036985">
            <w:pPr>
              <w:rPr>
                <w:sz w:val="20"/>
                <w:szCs w:val="20"/>
              </w:rPr>
            </w:pPr>
            <w:r w:rsidRPr="00974A75">
              <w:rPr>
                <w:sz w:val="20"/>
                <w:szCs w:val="20"/>
              </w:rPr>
              <w:t xml:space="preserve">How have you </w:t>
            </w:r>
            <w:r w:rsidR="00036985">
              <w:rPr>
                <w:sz w:val="20"/>
                <w:szCs w:val="20"/>
              </w:rPr>
              <w:t>made sure that</w:t>
            </w:r>
            <w:r w:rsidRPr="00974A75">
              <w:rPr>
                <w:sz w:val="20"/>
                <w:szCs w:val="20"/>
              </w:rPr>
              <w:t xml:space="preserve"> you (and your staff) understand your responsibilities </w:t>
            </w:r>
            <w:r w:rsidR="00036985">
              <w:rPr>
                <w:sz w:val="20"/>
                <w:szCs w:val="20"/>
              </w:rPr>
              <w:t xml:space="preserve">relating to the duty of candour </w:t>
            </w:r>
            <w:r w:rsidRPr="00974A75">
              <w:rPr>
                <w:sz w:val="20"/>
                <w:szCs w:val="20"/>
              </w:rPr>
              <w:t>and have systems in place to respond effectively?</w:t>
            </w:r>
          </w:p>
          <w:p w14:paraId="67D10488" w14:textId="77777777" w:rsidR="00D43173" w:rsidRDefault="00D43173" w:rsidP="00036985">
            <w:pPr>
              <w:rPr>
                <w:sz w:val="20"/>
                <w:szCs w:val="20"/>
              </w:rPr>
            </w:pPr>
          </w:p>
          <w:p w14:paraId="48550310" w14:textId="77777777" w:rsidR="00D43173" w:rsidRDefault="00D43173" w:rsidP="00036985">
            <w:pPr>
              <w:rPr>
                <w:sz w:val="20"/>
                <w:szCs w:val="20"/>
              </w:rPr>
            </w:pPr>
            <w:r>
              <w:rPr>
                <w:sz w:val="20"/>
                <w:szCs w:val="20"/>
              </w:rPr>
              <w:t>How have you done this?</w:t>
            </w:r>
          </w:p>
          <w:p w14:paraId="684009C2" w14:textId="00635FDF" w:rsidR="00D43173" w:rsidRPr="00974A75" w:rsidRDefault="00D43173" w:rsidP="00036985">
            <w:pPr>
              <w:rPr>
                <w:sz w:val="20"/>
                <w:szCs w:val="20"/>
              </w:rPr>
            </w:pPr>
          </w:p>
        </w:tc>
        <w:tc>
          <w:tcPr>
            <w:tcW w:w="6379" w:type="dxa"/>
            <w:gridSpan w:val="2"/>
          </w:tcPr>
          <w:p w14:paraId="7BC3459E" w14:textId="6F522552" w:rsidR="00974A75" w:rsidRPr="00974A75" w:rsidRDefault="00915D46" w:rsidP="00974A75">
            <w:pPr>
              <w:rPr>
                <w:sz w:val="20"/>
                <w:szCs w:val="20"/>
              </w:rPr>
            </w:pPr>
            <w:r>
              <w:rPr>
                <w:sz w:val="20"/>
                <w:szCs w:val="20"/>
              </w:rPr>
              <w:t>All staff have read and acknowledged their understanding of the Duty of Candour policy.</w:t>
            </w:r>
          </w:p>
        </w:tc>
      </w:tr>
      <w:tr w:rsidR="00974A75" w:rsidRPr="00974A75" w14:paraId="3F5F081F" w14:textId="77777777" w:rsidTr="00FB63FE">
        <w:tc>
          <w:tcPr>
            <w:tcW w:w="3545" w:type="dxa"/>
            <w:shd w:val="clear" w:color="auto" w:fill="DEEAF6" w:themeFill="accent1" w:themeFillTint="33"/>
          </w:tcPr>
          <w:p w14:paraId="0F5BF6C5" w14:textId="057E557A" w:rsidR="00A06CB6" w:rsidRPr="00974A75" w:rsidRDefault="00974A75" w:rsidP="00974A75">
            <w:pPr>
              <w:rPr>
                <w:sz w:val="20"/>
                <w:szCs w:val="20"/>
              </w:rPr>
            </w:pPr>
            <w:r w:rsidRPr="00974A75">
              <w:rPr>
                <w:sz w:val="20"/>
                <w:szCs w:val="20"/>
              </w:rPr>
              <w:t xml:space="preserve">Do you have a Duty of Candour Policy or written </w:t>
            </w:r>
            <w:r w:rsidR="00036985">
              <w:rPr>
                <w:sz w:val="20"/>
                <w:szCs w:val="20"/>
              </w:rPr>
              <w:t xml:space="preserve">duty of candour </w:t>
            </w:r>
            <w:r w:rsidRPr="00974A75">
              <w:rPr>
                <w:sz w:val="20"/>
                <w:szCs w:val="20"/>
              </w:rPr>
              <w:t>procedure?</w:t>
            </w:r>
          </w:p>
        </w:tc>
        <w:tc>
          <w:tcPr>
            <w:tcW w:w="2951" w:type="dxa"/>
          </w:tcPr>
          <w:p w14:paraId="20D5A05F" w14:textId="77777777" w:rsidR="00974A75" w:rsidRPr="00974A75" w:rsidRDefault="00974A75" w:rsidP="00974A75">
            <w:pPr>
              <w:jc w:val="center"/>
              <w:rPr>
                <w:sz w:val="20"/>
                <w:szCs w:val="20"/>
              </w:rPr>
            </w:pPr>
          </w:p>
          <w:p w14:paraId="796F6907" w14:textId="77777777" w:rsidR="00974A75" w:rsidRDefault="00974A75" w:rsidP="00974A75">
            <w:pPr>
              <w:jc w:val="center"/>
              <w:rPr>
                <w:sz w:val="20"/>
                <w:szCs w:val="20"/>
              </w:rPr>
            </w:pPr>
            <w:r w:rsidRPr="009E53B8">
              <w:rPr>
                <w:sz w:val="20"/>
                <w:szCs w:val="20"/>
                <w:highlight w:val="yellow"/>
              </w:rPr>
              <w:t>YES</w:t>
            </w:r>
          </w:p>
          <w:p w14:paraId="4DC03EB2" w14:textId="3CD3B50E" w:rsidR="00036985" w:rsidRPr="00974A75" w:rsidRDefault="00036985" w:rsidP="00974A75">
            <w:pPr>
              <w:jc w:val="center"/>
              <w:rPr>
                <w:sz w:val="20"/>
                <w:szCs w:val="20"/>
              </w:rPr>
            </w:pPr>
          </w:p>
        </w:tc>
        <w:tc>
          <w:tcPr>
            <w:tcW w:w="3428" w:type="dxa"/>
          </w:tcPr>
          <w:p w14:paraId="3E761E86" w14:textId="77777777" w:rsidR="00974A75" w:rsidRPr="00974A75" w:rsidRDefault="00974A75" w:rsidP="00974A75">
            <w:pPr>
              <w:jc w:val="center"/>
              <w:rPr>
                <w:sz w:val="20"/>
                <w:szCs w:val="20"/>
              </w:rPr>
            </w:pPr>
          </w:p>
          <w:p w14:paraId="5616AFB1" w14:textId="64D535B2" w:rsidR="00974A75" w:rsidRPr="00974A75" w:rsidRDefault="00974A75" w:rsidP="00974A75">
            <w:pPr>
              <w:jc w:val="center"/>
              <w:rPr>
                <w:sz w:val="20"/>
                <w:szCs w:val="20"/>
              </w:rPr>
            </w:pPr>
            <w:r w:rsidRPr="00974A75">
              <w:rPr>
                <w:sz w:val="20"/>
                <w:szCs w:val="20"/>
              </w:rPr>
              <w:t>NO</w:t>
            </w:r>
          </w:p>
        </w:tc>
      </w:tr>
    </w:tbl>
    <w:p w14:paraId="6260C294" w14:textId="41D77653" w:rsidR="00D43173" w:rsidRDefault="00D43173"/>
    <w:tbl>
      <w:tblPr>
        <w:tblStyle w:val="TableGrid"/>
        <w:tblW w:w="9924" w:type="dxa"/>
        <w:tblInd w:w="-431" w:type="dxa"/>
        <w:tblLook w:val="04A0" w:firstRow="1" w:lastRow="0" w:firstColumn="1" w:lastColumn="0" w:noHBand="0" w:noVBand="1"/>
      </w:tblPr>
      <w:tblGrid>
        <w:gridCol w:w="6522"/>
        <w:gridCol w:w="3402"/>
      </w:tblGrid>
      <w:tr w:rsidR="00D43173" w:rsidRPr="00D43173" w14:paraId="48557179" w14:textId="77777777" w:rsidTr="00D43173">
        <w:tc>
          <w:tcPr>
            <w:tcW w:w="9924" w:type="dxa"/>
            <w:gridSpan w:val="2"/>
            <w:shd w:val="clear" w:color="auto" w:fill="DEEAF6" w:themeFill="accent1" w:themeFillTint="33"/>
          </w:tcPr>
          <w:p w14:paraId="514792CC" w14:textId="77777777" w:rsidR="008A3780" w:rsidRDefault="008A3780" w:rsidP="00D43173">
            <w:pPr>
              <w:rPr>
                <w:sz w:val="20"/>
                <w:szCs w:val="20"/>
              </w:rPr>
            </w:pPr>
          </w:p>
          <w:p w14:paraId="3B7D56A1" w14:textId="77777777" w:rsidR="00D43173" w:rsidRPr="00D43173" w:rsidRDefault="00D43173" w:rsidP="00D43173">
            <w:pPr>
              <w:rPr>
                <w:sz w:val="20"/>
                <w:szCs w:val="20"/>
              </w:rPr>
            </w:pPr>
            <w:r w:rsidRPr="00D43173">
              <w:rPr>
                <w:sz w:val="20"/>
                <w:szCs w:val="20"/>
              </w:rPr>
              <w:t>How many times have you/your service implemented the duty of candour procedure this financial year?</w:t>
            </w:r>
          </w:p>
          <w:p w14:paraId="18B08E72" w14:textId="77777777" w:rsidR="00D43173" w:rsidRPr="00D43173" w:rsidRDefault="00D43173">
            <w:pPr>
              <w:rPr>
                <w:sz w:val="20"/>
                <w:szCs w:val="20"/>
              </w:rPr>
            </w:pPr>
          </w:p>
        </w:tc>
      </w:tr>
      <w:tr w:rsidR="00D43173" w:rsidRPr="00D43173" w14:paraId="62F7AB42" w14:textId="77777777" w:rsidTr="008A3780">
        <w:tc>
          <w:tcPr>
            <w:tcW w:w="6522" w:type="dxa"/>
            <w:shd w:val="clear" w:color="auto" w:fill="D9D9D9" w:themeFill="background1" w:themeFillShade="D9"/>
          </w:tcPr>
          <w:p w14:paraId="4F47E0A1" w14:textId="70715AA3" w:rsidR="00D43173" w:rsidRPr="00D43173" w:rsidRDefault="00D43173">
            <w:pPr>
              <w:rPr>
                <w:sz w:val="20"/>
                <w:szCs w:val="20"/>
              </w:rPr>
            </w:pPr>
            <w:r w:rsidRPr="00D43173">
              <w:rPr>
                <w:sz w:val="20"/>
                <w:szCs w:val="20"/>
              </w:rPr>
              <w:t>Type of unexpected or unintended incidents (not relating to the natural course of someone’s illness or underlying conditions)</w:t>
            </w:r>
          </w:p>
        </w:tc>
        <w:tc>
          <w:tcPr>
            <w:tcW w:w="3402" w:type="dxa"/>
            <w:shd w:val="clear" w:color="auto" w:fill="D9D9D9" w:themeFill="background1" w:themeFillShade="D9"/>
          </w:tcPr>
          <w:p w14:paraId="13815071" w14:textId="65E2E8D3" w:rsidR="00D43173" w:rsidRPr="00D43173" w:rsidRDefault="00D43173">
            <w:pPr>
              <w:rPr>
                <w:sz w:val="20"/>
                <w:szCs w:val="20"/>
              </w:rPr>
            </w:pPr>
            <w:r w:rsidRPr="00D43173">
              <w:rPr>
                <w:sz w:val="20"/>
                <w:szCs w:val="20"/>
              </w:rPr>
              <w:t xml:space="preserve">Number of times this has happened (April </w:t>
            </w:r>
            <w:r w:rsidR="00915D46">
              <w:rPr>
                <w:sz w:val="20"/>
                <w:szCs w:val="20"/>
              </w:rPr>
              <w:t>2</w:t>
            </w:r>
            <w:r w:rsidR="00641824">
              <w:rPr>
                <w:sz w:val="20"/>
                <w:szCs w:val="20"/>
              </w:rPr>
              <w:t>2</w:t>
            </w:r>
            <w:r w:rsidRPr="00D43173">
              <w:rPr>
                <w:sz w:val="20"/>
                <w:szCs w:val="20"/>
              </w:rPr>
              <w:t xml:space="preserve"> - March </w:t>
            </w:r>
            <w:r w:rsidR="00915D46">
              <w:rPr>
                <w:sz w:val="20"/>
                <w:szCs w:val="20"/>
              </w:rPr>
              <w:t>2</w:t>
            </w:r>
            <w:r w:rsidR="00641824">
              <w:rPr>
                <w:sz w:val="20"/>
                <w:szCs w:val="20"/>
              </w:rPr>
              <w:t>3</w:t>
            </w:r>
            <w:r w:rsidRPr="00D43173">
              <w:rPr>
                <w:sz w:val="20"/>
                <w:szCs w:val="20"/>
              </w:rPr>
              <w:t>)</w:t>
            </w:r>
          </w:p>
        </w:tc>
      </w:tr>
      <w:tr w:rsidR="00D43173" w:rsidRPr="00D43173" w14:paraId="01D7CC93" w14:textId="77777777" w:rsidTr="00D43173">
        <w:tc>
          <w:tcPr>
            <w:tcW w:w="6522" w:type="dxa"/>
          </w:tcPr>
          <w:p w14:paraId="5271E342" w14:textId="20D6A265" w:rsidR="00D43173" w:rsidRPr="00D43173" w:rsidRDefault="00D43173" w:rsidP="00D43173">
            <w:pPr>
              <w:pStyle w:val="CommentText"/>
            </w:pPr>
            <w:r w:rsidRPr="00D43173">
              <w:t>A person died</w:t>
            </w:r>
          </w:p>
        </w:tc>
        <w:tc>
          <w:tcPr>
            <w:tcW w:w="3402" w:type="dxa"/>
          </w:tcPr>
          <w:p w14:paraId="76284479" w14:textId="7DF5E4C8" w:rsidR="00D43173" w:rsidRPr="00D43173" w:rsidRDefault="00915D46">
            <w:pPr>
              <w:rPr>
                <w:sz w:val="20"/>
                <w:szCs w:val="20"/>
              </w:rPr>
            </w:pPr>
            <w:r>
              <w:rPr>
                <w:sz w:val="20"/>
                <w:szCs w:val="20"/>
              </w:rPr>
              <w:t>0</w:t>
            </w:r>
          </w:p>
        </w:tc>
      </w:tr>
      <w:tr w:rsidR="00D43173" w:rsidRPr="00D43173" w14:paraId="369DD957" w14:textId="77777777" w:rsidTr="00D43173">
        <w:tc>
          <w:tcPr>
            <w:tcW w:w="6522" w:type="dxa"/>
          </w:tcPr>
          <w:p w14:paraId="026DD637" w14:textId="77777777" w:rsidR="008A3780" w:rsidRDefault="00D43173" w:rsidP="00D43173">
            <w:pPr>
              <w:pStyle w:val="CommentText"/>
            </w:pPr>
            <w:r w:rsidRPr="00D43173">
              <w:t xml:space="preserve">A person incurred permanent lessening of bodily, sensory, </w:t>
            </w:r>
          </w:p>
          <w:p w14:paraId="4ECFC532" w14:textId="4ABFC08A" w:rsidR="00D43173" w:rsidRPr="00D43173" w:rsidRDefault="00D43173" w:rsidP="00D43173">
            <w:pPr>
              <w:pStyle w:val="CommentText"/>
            </w:pPr>
            <w:r w:rsidRPr="00D43173">
              <w:t xml:space="preserve">motor, </w:t>
            </w:r>
            <w:proofErr w:type="gramStart"/>
            <w:r w:rsidRPr="00D43173">
              <w:t>physiologic</w:t>
            </w:r>
            <w:proofErr w:type="gramEnd"/>
            <w:r w:rsidRPr="00D43173">
              <w:t xml:space="preserve"> or intellectual functions</w:t>
            </w:r>
          </w:p>
        </w:tc>
        <w:tc>
          <w:tcPr>
            <w:tcW w:w="3402" w:type="dxa"/>
          </w:tcPr>
          <w:p w14:paraId="13CCE5F0" w14:textId="633505BD" w:rsidR="00D43173" w:rsidRPr="00D43173" w:rsidRDefault="00915D46">
            <w:pPr>
              <w:rPr>
                <w:sz w:val="20"/>
                <w:szCs w:val="20"/>
              </w:rPr>
            </w:pPr>
            <w:r>
              <w:rPr>
                <w:sz w:val="20"/>
                <w:szCs w:val="20"/>
              </w:rPr>
              <w:t>0</w:t>
            </w:r>
          </w:p>
        </w:tc>
      </w:tr>
      <w:tr w:rsidR="00D43173" w:rsidRPr="00D43173" w14:paraId="59BF9FA2" w14:textId="77777777" w:rsidTr="00D43173">
        <w:tc>
          <w:tcPr>
            <w:tcW w:w="6522" w:type="dxa"/>
          </w:tcPr>
          <w:p w14:paraId="60A7BE70" w14:textId="335AE48D" w:rsidR="00D43173" w:rsidRPr="00D43173" w:rsidRDefault="00D43173" w:rsidP="00D43173">
            <w:pPr>
              <w:pStyle w:val="CommentText"/>
            </w:pPr>
            <w:r w:rsidRPr="00D43173">
              <w:t>A person’s treatment increased</w:t>
            </w:r>
          </w:p>
        </w:tc>
        <w:tc>
          <w:tcPr>
            <w:tcW w:w="3402" w:type="dxa"/>
          </w:tcPr>
          <w:p w14:paraId="1E41B4BE" w14:textId="02413341" w:rsidR="00D43173" w:rsidRPr="00D43173" w:rsidRDefault="00915D46">
            <w:pPr>
              <w:rPr>
                <w:sz w:val="20"/>
                <w:szCs w:val="20"/>
              </w:rPr>
            </w:pPr>
            <w:r>
              <w:rPr>
                <w:sz w:val="20"/>
                <w:szCs w:val="20"/>
              </w:rPr>
              <w:t>0</w:t>
            </w:r>
          </w:p>
        </w:tc>
      </w:tr>
      <w:tr w:rsidR="00D43173" w:rsidRPr="00D43173" w14:paraId="7386570E" w14:textId="77777777" w:rsidTr="00D43173">
        <w:tc>
          <w:tcPr>
            <w:tcW w:w="6522" w:type="dxa"/>
          </w:tcPr>
          <w:p w14:paraId="275BF60D" w14:textId="40FEC52C" w:rsidR="00D43173" w:rsidRPr="00D43173" w:rsidRDefault="00D43173" w:rsidP="00D43173">
            <w:pPr>
              <w:pStyle w:val="CommentText"/>
            </w:pPr>
            <w:r w:rsidRPr="00D43173">
              <w:t>The structure of a person’s body changed</w:t>
            </w:r>
          </w:p>
        </w:tc>
        <w:tc>
          <w:tcPr>
            <w:tcW w:w="3402" w:type="dxa"/>
          </w:tcPr>
          <w:p w14:paraId="0DFB0F4B" w14:textId="392C262D" w:rsidR="00D43173" w:rsidRPr="00D43173" w:rsidRDefault="00915D46">
            <w:pPr>
              <w:rPr>
                <w:sz w:val="20"/>
                <w:szCs w:val="20"/>
              </w:rPr>
            </w:pPr>
            <w:r>
              <w:rPr>
                <w:sz w:val="20"/>
                <w:szCs w:val="20"/>
              </w:rPr>
              <w:t>0</w:t>
            </w:r>
          </w:p>
        </w:tc>
      </w:tr>
      <w:tr w:rsidR="00D43173" w:rsidRPr="00D43173" w14:paraId="45D2A3D1" w14:textId="77777777" w:rsidTr="00D43173">
        <w:tc>
          <w:tcPr>
            <w:tcW w:w="6522" w:type="dxa"/>
          </w:tcPr>
          <w:p w14:paraId="03C6B7BD" w14:textId="08DEFB8F" w:rsidR="00D43173" w:rsidRPr="00D43173" w:rsidRDefault="00D43173" w:rsidP="00D43173">
            <w:pPr>
              <w:pStyle w:val="CommentText"/>
            </w:pPr>
            <w:r w:rsidRPr="00D43173">
              <w:t>A person’s life expectancy shortened</w:t>
            </w:r>
          </w:p>
        </w:tc>
        <w:tc>
          <w:tcPr>
            <w:tcW w:w="3402" w:type="dxa"/>
          </w:tcPr>
          <w:p w14:paraId="798386AD" w14:textId="30CBD1F4" w:rsidR="00D43173" w:rsidRPr="00D43173" w:rsidRDefault="00915D46">
            <w:pPr>
              <w:rPr>
                <w:sz w:val="20"/>
                <w:szCs w:val="20"/>
              </w:rPr>
            </w:pPr>
            <w:r>
              <w:rPr>
                <w:sz w:val="20"/>
                <w:szCs w:val="20"/>
              </w:rPr>
              <w:t>0</w:t>
            </w:r>
          </w:p>
        </w:tc>
      </w:tr>
      <w:tr w:rsidR="00D43173" w:rsidRPr="00D43173" w14:paraId="26041294" w14:textId="77777777" w:rsidTr="00D43173">
        <w:tc>
          <w:tcPr>
            <w:tcW w:w="6522" w:type="dxa"/>
          </w:tcPr>
          <w:p w14:paraId="394A4FB1" w14:textId="77777777" w:rsidR="008A3780" w:rsidRDefault="00D43173" w:rsidP="00D43173">
            <w:pPr>
              <w:pStyle w:val="CommentText"/>
            </w:pPr>
            <w:r w:rsidRPr="00D43173">
              <w:t xml:space="preserve">A person’s sensory, motor or intellectual functions was </w:t>
            </w:r>
            <w:proofErr w:type="gramStart"/>
            <w:r w:rsidRPr="00D43173">
              <w:t>impaired</w:t>
            </w:r>
            <w:proofErr w:type="gramEnd"/>
            <w:r w:rsidRPr="00D43173">
              <w:t xml:space="preserve"> </w:t>
            </w:r>
          </w:p>
          <w:p w14:paraId="3CE36444" w14:textId="72E016CF" w:rsidR="00D43173" w:rsidRPr="00D43173" w:rsidRDefault="00D43173" w:rsidP="00D43173">
            <w:pPr>
              <w:pStyle w:val="CommentText"/>
            </w:pPr>
            <w:r w:rsidRPr="00D43173">
              <w:t>for 28 days or more</w:t>
            </w:r>
          </w:p>
        </w:tc>
        <w:tc>
          <w:tcPr>
            <w:tcW w:w="3402" w:type="dxa"/>
          </w:tcPr>
          <w:p w14:paraId="7A8A4849" w14:textId="07097F0E" w:rsidR="00D43173" w:rsidRPr="00D43173" w:rsidRDefault="00915D46">
            <w:pPr>
              <w:rPr>
                <w:sz w:val="20"/>
                <w:szCs w:val="20"/>
              </w:rPr>
            </w:pPr>
            <w:r>
              <w:rPr>
                <w:sz w:val="20"/>
                <w:szCs w:val="20"/>
              </w:rPr>
              <w:t>0</w:t>
            </w:r>
          </w:p>
        </w:tc>
      </w:tr>
      <w:tr w:rsidR="00D43173" w:rsidRPr="00D43173" w14:paraId="33E1F87A" w14:textId="77777777" w:rsidTr="00D43173">
        <w:tc>
          <w:tcPr>
            <w:tcW w:w="6522" w:type="dxa"/>
          </w:tcPr>
          <w:p w14:paraId="05498D90" w14:textId="63C26C25" w:rsidR="00D43173" w:rsidRPr="00D43173" w:rsidRDefault="00D43173" w:rsidP="00D43173">
            <w:pPr>
              <w:pStyle w:val="CommentText"/>
            </w:pPr>
            <w:r w:rsidRPr="00D43173">
              <w:t>A person experienced pain or psychological harm for 28 days or more</w:t>
            </w:r>
          </w:p>
        </w:tc>
        <w:tc>
          <w:tcPr>
            <w:tcW w:w="3402" w:type="dxa"/>
          </w:tcPr>
          <w:p w14:paraId="71C87FF6" w14:textId="69EB9109" w:rsidR="00D43173" w:rsidRPr="00D43173" w:rsidRDefault="00915D46">
            <w:pPr>
              <w:rPr>
                <w:sz w:val="20"/>
                <w:szCs w:val="20"/>
              </w:rPr>
            </w:pPr>
            <w:r>
              <w:rPr>
                <w:sz w:val="20"/>
                <w:szCs w:val="20"/>
              </w:rPr>
              <w:t>0</w:t>
            </w:r>
          </w:p>
        </w:tc>
      </w:tr>
      <w:tr w:rsidR="00D43173" w:rsidRPr="00D43173" w14:paraId="750E336F" w14:textId="77777777" w:rsidTr="00D43173">
        <w:tc>
          <w:tcPr>
            <w:tcW w:w="6522" w:type="dxa"/>
          </w:tcPr>
          <w:p w14:paraId="6741B64D" w14:textId="34BBBE0E" w:rsidR="00D43173" w:rsidRPr="00D43173" w:rsidRDefault="00D43173" w:rsidP="00D43173">
            <w:pPr>
              <w:pStyle w:val="CommentText"/>
            </w:pPr>
            <w:r w:rsidRPr="00D43173">
              <w:t xml:space="preserve">A person needed health treatment </w:t>
            </w:r>
            <w:proofErr w:type="gramStart"/>
            <w:r w:rsidRPr="00D43173">
              <w:t>in order to</w:t>
            </w:r>
            <w:proofErr w:type="gramEnd"/>
            <w:r w:rsidRPr="00D43173">
              <w:t xml:space="preserve"> prevent them dying</w:t>
            </w:r>
          </w:p>
        </w:tc>
        <w:tc>
          <w:tcPr>
            <w:tcW w:w="3402" w:type="dxa"/>
          </w:tcPr>
          <w:p w14:paraId="5EFB984A" w14:textId="535F23B2" w:rsidR="00D43173" w:rsidRPr="00D43173" w:rsidRDefault="00915D46">
            <w:pPr>
              <w:rPr>
                <w:sz w:val="20"/>
                <w:szCs w:val="20"/>
              </w:rPr>
            </w:pPr>
            <w:r>
              <w:rPr>
                <w:sz w:val="20"/>
                <w:szCs w:val="20"/>
              </w:rPr>
              <w:t>0</w:t>
            </w:r>
          </w:p>
        </w:tc>
      </w:tr>
      <w:tr w:rsidR="00D43173" w:rsidRPr="00D43173" w14:paraId="0CC9D8E0" w14:textId="77777777" w:rsidTr="00D43173">
        <w:tc>
          <w:tcPr>
            <w:tcW w:w="6522" w:type="dxa"/>
          </w:tcPr>
          <w:p w14:paraId="19D7F76A" w14:textId="77777777" w:rsidR="008A3780" w:rsidRDefault="00D43173" w:rsidP="00D43173">
            <w:pPr>
              <w:pStyle w:val="CommentText"/>
            </w:pPr>
            <w:r w:rsidRPr="00D43173">
              <w:t xml:space="preserve">A person needing health treatment in order to prevent other </w:t>
            </w:r>
            <w:proofErr w:type="gramStart"/>
            <w:r w:rsidRPr="00D43173">
              <w:t>injuries</w:t>
            </w:r>
            <w:proofErr w:type="gramEnd"/>
            <w:r w:rsidRPr="00D43173">
              <w:t xml:space="preserve"> </w:t>
            </w:r>
          </w:p>
          <w:p w14:paraId="1236912B" w14:textId="0D3B6CDC" w:rsidR="00D43173" w:rsidRPr="00D43173" w:rsidRDefault="00D43173" w:rsidP="00D43173">
            <w:pPr>
              <w:pStyle w:val="CommentText"/>
            </w:pPr>
            <w:r w:rsidRPr="00D43173">
              <w:t>as listed above</w:t>
            </w:r>
          </w:p>
        </w:tc>
        <w:tc>
          <w:tcPr>
            <w:tcW w:w="3402" w:type="dxa"/>
          </w:tcPr>
          <w:p w14:paraId="526BCDFA" w14:textId="29F9E0B9" w:rsidR="00D43173" w:rsidRPr="00D43173" w:rsidRDefault="00915D46">
            <w:pPr>
              <w:rPr>
                <w:sz w:val="20"/>
                <w:szCs w:val="20"/>
              </w:rPr>
            </w:pPr>
            <w:r>
              <w:rPr>
                <w:sz w:val="20"/>
                <w:szCs w:val="20"/>
              </w:rPr>
              <w:t>0</w:t>
            </w:r>
          </w:p>
        </w:tc>
      </w:tr>
      <w:tr w:rsidR="00D43173" w:rsidRPr="00D43173" w14:paraId="23FE6E4D" w14:textId="77777777" w:rsidTr="00D43173">
        <w:tc>
          <w:tcPr>
            <w:tcW w:w="6522" w:type="dxa"/>
          </w:tcPr>
          <w:p w14:paraId="08D8CC48" w14:textId="72DA4BB9" w:rsidR="00D43173" w:rsidRPr="008A3780" w:rsidRDefault="00D43173" w:rsidP="008A3780">
            <w:pPr>
              <w:pStyle w:val="CommentText"/>
              <w:rPr>
                <w:b/>
              </w:rPr>
            </w:pPr>
            <w:r w:rsidRPr="008A3780">
              <w:rPr>
                <w:b/>
              </w:rPr>
              <w:t>Total</w:t>
            </w:r>
          </w:p>
        </w:tc>
        <w:tc>
          <w:tcPr>
            <w:tcW w:w="3402" w:type="dxa"/>
          </w:tcPr>
          <w:p w14:paraId="00219930" w14:textId="310CC7B9" w:rsidR="00D43173" w:rsidRPr="00D43173" w:rsidRDefault="00915D46">
            <w:pPr>
              <w:rPr>
                <w:sz w:val="20"/>
                <w:szCs w:val="20"/>
              </w:rPr>
            </w:pPr>
            <w:r>
              <w:rPr>
                <w:sz w:val="20"/>
                <w:szCs w:val="20"/>
              </w:rPr>
              <w:t>0</w:t>
            </w:r>
          </w:p>
        </w:tc>
      </w:tr>
    </w:tbl>
    <w:p w14:paraId="1AB512E7" w14:textId="77777777" w:rsidR="00D43173" w:rsidRDefault="00D43173"/>
    <w:p w14:paraId="3C5661BA" w14:textId="77777777" w:rsidR="00D43173" w:rsidRDefault="00D43173"/>
    <w:p w14:paraId="3921B0B4" w14:textId="77777777" w:rsidR="00D43173" w:rsidRDefault="00D43173"/>
    <w:tbl>
      <w:tblPr>
        <w:tblStyle w:val="TableGrid"/>
        <w:tblW w:w="9924" w:type="dxa"/>
        <w:tblInd w:w="-431" w:type="dxa"/>
        <w:tblLook w:val="04A0" w:firstRow="1" w:lastRow="0" w:firstColumn="1" w:lastColumn="0" w:noHBand="0" w:noVBand="1"/>
      </w:tblPr>
      <w:tblGrid>
        <w:gridCol w:w="3545"/>
        <w:gridCol w:w="6379"/>
      </w:tblGrid>
      <w:tr w:rsidR="00974A75" w:rsidRPr="00974A75" w14:paraId="731FD413" w14:textId="77777777" w:rsidTr="00FB63FE">
        <w:tc>
          <w:tcPr>
            <w:tcW w:w="3545" w:type="dxa"/>
            <w:shd w:val="clear" w:color="auto" w:fill="DEEAF6" w:themeFill="accent1" w:themeFillTint="33"/>
          </w:tcPr>
          <w:p w14:paraId="2E3D1AEA" w14:textId="77777777" w:rsidR="008A3780" w:rsidRDefault="008A3780" w:rsidP="008A3780">
            <w:pPr>
              <w:rPr>
                <w:sz w:val="20"/>
                <w:szCs w:val="20"/>
              </w:rPr>
            </w:pPr>
            <w:r>
              <w:rPr>
                <w:sz w:val="20"/>
                <w:szCs w:val="20"/>
              </w:rPr>
              <w:lastRenderedPageBreak/>
              <w:t xml:space="preserve">Did the responsible person for triggering duty of candour appropriately follow the procedure? </w:t>
            </w:r>
          </w:p>
          <w:p w14:paraId="793E5906" w14:textId="77777777" w:rsidR="008A3780" w:rsidRDefault="008A3780" w:rsidP="008A3780">
            <w:pPr>
              <w:rPr>
                <w:sz w:val="20"/>
                <w:szCs w:val="20"/>
              </w:rPr>
            </w:pPr>
          </w:p>
          <w:p w14:paraId="7EC41C1A" w14:textId="77777777" w:rsidR="00DF7EB3" w:rsidRDefault="008A3780" w:rsidP="008A3780">
            <w:pPr>
              <w:rPr>
                <w:sz w:val="20"/>
                <w:szCs w:val="20"/>
              </w:rPr>
            </w:pPr>
            <w:r>
              <w:rPr>
                <w:sz w:val="20"/>
                <w:szCs w:val="20"/>
              </w:rPr>
              <w:t>If not, did this result is any under or over reporting of duty of candour?</w:t>
            </w:r>
          </w:p>
          <w:p w14:paraId="3BC7598A" w14:textId="447704C3" w:rsidR="00A06CB6" w:rsidRPr="00974A75" w:rsidRDefault="00A06CB6" w:rsidP="008A3780">
            <w:pPr>
              <w:rPr>
                <w:sz w:val="20"/>
                <w:szCs w:val="20"/>
              </w:rPr>
            </w:pPr>
          </w:p>
        </w:tc>
        <w:tc>
          <w:tcPr>
            <w:tcW w:w="6379" w:type="dxa"/>
          </w:tcPr>
          <w:p w14:paraId="69C2D986" w14:textId="5256C193" w:rsidR="00974A75" w:rsidRPr="00974A75" w:rsidRDefault="00915D46" w:rsidP="00974A75">
            <w:pPr>
              <w:rPr>
                <w:sz w:val="20"/>
                <w:szCs w:val="20"/>
              </w:rPr>
            </w:pPr>
            <w:r>
              <w:rPr>
                <w:sz w:val="20"/>
                <w:szCs w:val="20"/>
              </w:rPr>
              <w:t>N/A</w:t>
            </w:r>
          </w:p>
        </w:tc>
      </w:tr>
      <w:tr w:rsidR="00A06CB6" w:rsidRPr="00974A75" w14:paraId="29A5EA99" w14:textId="77777777" w:rsidTr="00FB63FE">
        <w:tc>
          <w:tcPr>
            <w:tcW w:w="3545" w:type="dxa"/>
            <w:shd w:val="clear" w:color="auto" w:fill="DEEAF6" w:themeFill="accent1" w:themeFillTint="33"/>
          </w:tcPr>
          <w:p w14:paraId="236D8313" w14:textId="49078276" w:rsidR="00A06CB6" w:rsidRPr="00974A75" w:rsidRDefault="008A3780" w:rsidP="00A06CB6">
            <w:pPr>
              <w:rPr>
                <w:sz w:val="20"/>
                <w:szCs w:val="20"/>
              </w:rPr>
            </w:pPr>
            <w:r>
              <w:rPr>
                <w:sz w:val="20"/>
                <w:szCs w:val="20"/>
              </w:rPr>
              <w:t>What lessons did you learn?</w:t>
            </w:r>
          </w:p>
        </w:tc>
        <w:tc>
          <w:tcPr>
            <w:tcW w:w="6379" w:type="dxa"/>
          </w:tcPr>
          <w:p w14:paraId="09D5F224" w14:textId="654CF52C" w:rsidR="00A06CB6" w:rsidRDefault="00915D46" w:rsidP="00974A75">
            <w:pPr>
              <w:rPr>
                <w:sz w:val="20"/>
                <w:szCs w:val="20"/>
              </w:rPr>
            </w:pPr>
            <w:r>
              <w:rPr>
                <w:sz w:val="20"/>
                <w:szCs w:val="20"/>
              </w:rPr>
              <w:t>N/A</w:t>
            </w:r>
          </w:p>
          <w:p w14:paraId="6FB6F810" w14:textId="77777777" w:rsidR="00A06CB6" w:rsidRDefault="00A06CB6" w:rsidP="00974A75">
            <w:pPr>
              <w:rPr>
                <w:sz w:val="20"/>
                <w:szCs w:val="20"/>
              </w:rPr>
            </w:pPr>
          </w:p>
          <w:p w14:paraId="3B4A3A28" w14:textId="77777777" w:rsidR="00A06CB6" w:rsidRPr="00974A75" w:rsidRDefault="00A06CB6" w:rsidP="00974A75">
            <w:pPr>
              <w:rPr>
                <w:sz w:val="20"/>
                <w:szCs w:val="20"/>
              </w:rPr>
            </w:pPr>
          </w:p>
        </w:tc>
      </w:tr>
      <w:tr w:rsidR="009D65C9" w:rsidRPr="00974A75" w14:paraId="55527794" w14:textId="77777777" w:rsidTr="00FB63FE">
        <w:tc>
          <w:tcPr>
            <w:tcW w:w="3545" w:type="dxa"/>
            <w:shd w:val="clear" w:color="auto" w:fill="DEEAF6" w:themeFill="accent1" w:themeFillTint="33"/>
          </w:tcPr>
          <w:p w14:paraId="7B79842D" w14:textId="77777777" w:rsidR="008A3780" w:rsidRDefault="008A3780" w:rsidP="008A3780">
            <w:pPr>
              <w:rPr>
                <w:sz w:val="20"/>
                <w:szCs w:val="20"/>
              </w:rPr>
            </w:pPr>
            <w:r>
              <w:rPr>
                <w:sz w:val="20"/>
                <w:szCs w:val="20"/>
              </w:rPr>
              <w:t>What learning &amp; improvements have been put in place as a result?</w:t>
            </w:r>
          </w:p>
          <w:p w14:paraId="6D378ABE" w14:textId="5EC86640" w:rsidR="009D65C9" w:rsidRPr="00974A75" w:rsidRDefault="009D65C9" w:rsidP="009D65C9">
            <w:pPr>
              <w:rPr>
                <w:sz w:val="20"/>
                <w:szCs w:val="20"/>
              </w:rPr>
            </w:pPr>
          </w:p>
        </w:tc>
        <w:tc>
          <w:tcPr>
            <w:tcW w:w="6379" w:type="dxa"/>
          </w:tcPr>
          <w:p w14:paraId="7CC0F0B0" w14:textId="77777777" w:rsidR="009D65C9" w:rsidRDefault="009D65C9" w:rsidP="009D65C9">
            <w:pPr>
              <w:rPr>
                <w:sz w:val="20"/>
                <w:szCs w:val="20"/>
              </w:rPr>
            </w:pPr>
          </w:p>
          <w:p w14:paraId="42052C97" w14:textId="3D6E9CF2" w:rsidR="009D65C9" w:rsidRDefault="00915D46" w:rsidP="009D65C9">
            <w:pPr>
              <w:rPr>
                <w:sz w:val="20"/>
                <w:szCs w:val="20"/>
              </w:rPr>
            </w:pPr>
            <w:r>
              <w:rPr>
                <w:sz w:val="20"/>
                <w:szCs w:val="20"/>
              </w:rPr>
              <w:t>N/A</w:t>
            </w:r>
          </w:p>
          <w:p w14:paraId="06D2855A" w14:textId="77777777" w:rsidR="009D65C9" w:rsidRPr="00974A75" w:rsidRDefault="009D65C9" w:rsidP="009D65C9">
            <w:pPr>
              <w:rPr>
                <w:sz w:val="20"/>
                <w:szCs w:val="20"/>
              </w:rPr>
            </w:pPr>
          </w:p>
        </w:tc>
      </w:tr>
      <w:tr w:rsidR="009D65C9" w:rsidRPr="00974A75" w14:paraId="220F11E2" w14:textId="77777777" w:rsidTr="00FB63FE">
        <w:tc>
          <w:tcPr>
            <w:tcW w:w="3545" w:type="dxa"/>
            <w:shd w:val="clear" w:color="auto" w:fill="DEEAF6" w:themeFill="accent1" w:themeFillTint="33"/>
          </w:tcPr>
          <w:p w14:paraId="2717DA69" w14:textId="4B2174A9" w:rsidR="009D65C9" w:rsidRPr="00974A75" w:rsidRDefault="008A3780" w:rsidP="00DF7EB3">
            <w:pPr>
              <w:rPr>
                <w:sz w:val="20"/>
                <w:szCs w:val="20"/>
              </w:rPr>
            </w:pPr>
            <w:r>
              <w:rPr>
                <w:sz w:val="20"/>
                <w:szCs w:val="20"/>
              </w:rPr>
              <w:t xml:space="preserve">Did this result is a change / update to your </w:t>
            </w:r>
            <w:r w:rsidR="00DF7EB3">
              <w:rPr>
                <w:sz w:val="20"/>
                <w:szCs w:val="20"/>
              </w:rPr>
              <w:t>d</w:t>
            </w:r>
            <w:r>
              <w:rPr>
                <w:sz w:val="20"/>
                <w:szCs w:val="20"/>
              </w:rPr>
              <w:t>uty of candour policy / procedure?</w:t>
            </w:r>
          </w:p>
        </w:tc>
        <w:tc>
          <w:tcPr>
            <w:tcW w:w="6379" w:type="dxa"/>
          </w:tcPr>
          <w:p w14:paraId="5922AB36" w14:textId="5787C7F4" w:rsidR="009D65C9" w:rsidRPr="00974A75" w:rsidRDefault="00915D46" w:rsidP="009D65C9">
            <w:pPr>
              <w:rPr>
                <w:sz w:val="20"/>
                <w:szCs w:val="20"/>
              </w:rPr>
            </w:pPr>
            <w:r>
              <w:rPr>
                <w:sz w:val="20"/>
                <w:szCs w:val="20"/>
              </w:rPr>
              <w:t>N/A</w:t>
            </w:r>
          </w:p>
        </w:tc>
      </w:tr>
      <w:tr w:rsidR="009D65C9" w:rsidRPr="00974A75" w14:paraId="1E1B7192" w14:textId="77777777" w:rsidTr="00FB63FE">
        <w:tc>
          <w:tcPr>
            <w:tcW w:w="3545" w:type="dxa"/>
            <w:shd w:val="clear" w:color="auto" w:fill="DEEAF6" w:themeFill="accent1" w:themeFillTint="33"/>
          </w:tcPr>
          <w:p w14:paraId="6D6CFE42" w14:textId="0963210B" w:rsidR="009D65C9" w:rsidRDefault="009D65C9" w:rsidP="009D65C9">
            <w:pPr>
              <w:rPr>
                <w:sz w:val="20"/>
                <w:szCs w:val="20"/>
              </w:rPr>
            </w:pPr>
            <w:r w:rsidRPr="009D65C9">
              <w:rPr>
                <w:sz w:val="20"/>
                <w:szCs w:val="20"/>
              </w:rPr>
              <w:t>How d</w:t>
            </w:r>
            <w:r>
              <w:rPr>
                <w:sz w:val="20"/>
                <w:szCs w:val="20"/>
              </w:rPr>
              <w:t>id</w:t>
            </w:r>
            <w:r w:rsidRPr="009D65C9">
              <w:rPr>
                <w:sz w:val="20"/>
                <w:szCs w:val="20"/>
              </w:rPr>
              <w:t xml:space="preserve"> you </w:t>
            </w:r>
            <w:r>
              <w:rPr>
                <w:sz w:val="20"/>
                <w:szCs w:val="20"/>
              </w:rPr>
              <w:t>share lessons learned and who with</w:t>
            </w:r>
            <w:r w:rsidRPr="009D65C9">
              <w:rPr>
                <w:sz w:val="20"/>
                <w:szCs w:val="20"/>
              </w:rPr>
              <w:t xml:space="preserve">? </w:t>
            </w:r>
          </w:p>
          <w:p w14:paraId="5C5D208B" w14:textId="4F60BE69" w:rsidR="009D65C9" w:rsidRDefault="009D65C9" w:rsidP="009D65C9">
            <w:pPr>
              <w:rPr>
                <w:sz w:val="20"/>
                <w:szCs w:val="20"/>
              </w:rPr>
            </w:pPr>
          </w:p>
        </w:tc>
        <w:tc>
          <w:tcPr>
            <w:tcW w:w="6379" w:type="dxa"/>
          </w:tcPr>
          <w:p w14:paraId="7BB65D05" w14:textId="0F0EC5E4" w:rsidR="009D65C9" w:rsidRPr="00974A75" w:rsidRDefault="00915D46" w:rsidP="009D65C9">
            <w:pPr>
              <w:rPr>
                <w:sz w:val="20"/>
                <w:szCs w:val="20"/>
              </w:rPr>
            </w:pPr>
            <w:r>
              <w:rPr>
                <w:sz w:val="20"/>
                <w:szCs w:val="20"/>
              </w:rPr>
              <w:t>N/A</w:t>
            </w:r>
          </w:p>
        </w:tc>
      </w:tr>
      <w:tr w:rsidR="009D65C9" w:rsidRPr="00974A75" w14:paraId="61375628" w14:textId="77777777" w:rsidTr="00FB63FE">
        <w:tc>
          <w:tcPr>
            <w:tcW w:w="3545" w:type="dxa"/>
            <w:shd w:val="clear" w:color="auto" w:fill="DEEAF6" w:themeFill="accent1" w:themeFillTint="33"/>
          </w:tcPr>
          <w:p w14:paraId="45AB65DC" w14:textId="225709E4" w:rsidR="009D65C9" w:rsidRPr="009D65C9" w:rsidRDefault="009D65C9" w:rsidP="009D65C9">
            <w:pPr>
              <w:rPr>
                <w:sz w:val="20"/>
                <w:szCs w:val="20"/>
              </w:rPr>
            </w:pPr>
            <w:r w:rsidRPr="009D65C9">
              <w:rPr>
                <w:sz w:val="20"/>
                <w:szCs w:val="20"/>
              </w:rPr>
              <w:t xml:space="preserve">Could </w:t>
            </w:r>
            <w:r>
              <w:rPr>
                <w:sz w:val="20"/>
                <w:szCs w:val="20"/>
              </w:rPr>
              <w:t>any further improvements be made</w:t>
            </w:r>
            <w:r w:rsidRPr="009D65C9">
              <w:rPr>
                <w:sz w:val="20"/>
                <w:szCs w:val="20"/>
              </w:rPr>
              <w:t>?</w:t>
            </w:r>
          </w:p>
        </w:tc>
        <w:tc>
          <w:tcPr>
            <w:tcW w:w="6379" w:type="dxa"/>
          </w:tcPr>
          <w:p w14:paraId="33136E0C" w14:textId="77777777" w:rsidR="009D65C9" w:rsidRDefault="009D65C9" w:rsidP="009D65C9">
            <w:pPr>
              <w:rPr>
                <w:sz w:val="20"/>
                <w:szCs w:val="20"/>
              </w:rPr>
            </w:pPr>
          </w:p>
          <w:p w14:paraId="2162581D" w14:textId="44CA8508" w:rsidR="009D65C9" w:rsidRDefault="00915D46" w:rsidP="009D65C9">
            <w:pPr>
              <w:rPr>
                <w:sz w:val="20"/>
                <w:szCs w:val="20"/>
              </w:rPr>
            </w:pPr>
            <w:r>
              <w:rPr>
                <w:sz w:val="20"/>
                <w:szCs w:val="20"/>
              </w:rPr>
              <w:t>N/A</w:t>
            </w:r>
          </w:p>
          <w:p w14:paraId="5B6F8B14" w14:textId="77777777" w:rsidR="009D65C9" w:rsidRPr="00974A75" w:rsidRDefault="009D65C9" w:rsidP="009D65C9">
            <w:pPr>
              <w:rPr>
                <w:sz w:val="20"/>
                <w:szCs w:val="20"/>
              </w:rPr>
            </w:pPr>
          </w:p>
        </w:tc>
      </w:tr>
      <w:tr w:rsidR="009D65C9" w:rsidRPr="00974A75" w14:paraId="24B99761" w14:textId="77777777" w:rsidTr="00FB63FE">
        <w:trPr>
          <w:trHeight w:val="1091"/>
        </w:trPr>
        <w:tc>
          <w:tcPr>
            <w:tcW w:w="3545" w:type="dxa"/>
            <w:shd w:val="clear" w:color="auto" w:fill="DEEAF6" w:themeFill="accent1" w:themeFillTint="33"/>
          </w:tcPr>
          <w:p w14:paraId="7EE17AE6" w14:textId="76F7B3FC" w:rsidR="009D65C9" w:rsidRPr="009D65C9" w:rsidRDefault="009D65C9" w:rsidP="009D65C9">
            <w:pPr>
              <w:rPr>
                <w:sz w:val="20"/>
                <w:szCs w:val="20"/>
              </w:rPr>
            </w:pPr>
            <w:r w:rsidRPr="009D65C9">
              <w:rPr>
                <w:sz w:val="20"/>
                <w:szCs w:val="20"/>
              </w:rPr>
              <w:t>What systems do you have in place to support staff to provide an apology in a person-centred way and how do you support staff to enable them to do this?</w:t>
            </w:r>
          </w:p>
        </w:tc>
        <w:tc>
          <w:tcPr>
            <w:tcW w:w="6379" w:type="dxa"/>
          </w:tcPr>
          <w:p w14:paraId="2B34D419" w14:textId="41907DC1" w:rsidR="009D65C9" w:rsidRPr="00974A75" w:rsidRDefault="00033BD3" w:rsidP="009D65C9">
            <w:pPr>
              <w:rPr>
                <w:sz w:val="20"/>
                <w:szCs w:val="20"/>
              </w:rPr>
            </w:pPr>
            <w:r>
              <w:rPr>
                <w:sz w:val="20"/>
                <w:szCs w:val="20"/>
              </w:rPr>
              <w:t>Staff are supported and assisted by management if unsure how to approach a difficult</w:t>
            </w:r>
            <w:r w:rsidR="009E5678">
              <w:rPr>
                <w:sz w:val="20"/>
                <w:szCs w:val="20"/>
              </w:rPr>
              <w:t xml:space="preserve"> situation</w:t>
            </w:r>
          </w:p>
        </w:tc>
      </w:tr>
      <w:tr w:rsidR="009D65C9" w:rsidRPr="00974A75" w14:paraId="418E9E4E" w14:textId="77777777" w:rsidTr="00FB63FE">
        <w:trPr>
          <w:trHeight w:val="996"/>
        </w:trPr>
        <w:tc>
          <w:tcPr>
            <w:tcW w:w="3545" w:type="dxa"/>
            <w:shd w:val="clear" w:color="auto" w:fill="DEEAF6" w:themeFill="accent1" w:themeFillTint="33"/>
          </w:tcPr>
          <w:p w14:paraId="02DA7D49" w14:textId="08538C8B" w:rsidR="009D65C9" w:rsidRPr="009D65C9" w:rsidRDefault="009D65C9" w:rsidP="009D65C9">
            <w:pPr>
              <w:rPr>
                <w:sz w:val="20"/>
                <w:szCs w:val="20"/>
              </w:rPr>
            </w:pPr>
            <w:r w:rsidRPr="009D65C9">
              <w:rPr>
                <w:sz w:val="20"/>
                <w:szCs w:val="20"/>
              </w:rPr>
              <w:t>What support do you have available for people involved in</w:t>
            </w:r>
            <w:r>
              <w:rPr>
                <w:sz w:val="20"/>
                <w:szCs w:val="20"/>
              </w:rPr>
              <w:t xml:space="preserve"> invoking the procedure </w:t>
            </w:r>
            <w:r w:rsidRPr="009D65C9">
              <w:rPr>
                <w:sz w:val="20"/>
                <w:szCs w:val="20"/>
              </w:rPr>
              <w:t xml:space="preserve">and those </w:t>
            </w:r>
            <w:r>
              <w:rPr>
                <w:sz w:val="20"/>
                <w:szCs w:val="20"/>
              </w:rPr>
              <w:t>who might be affected</w:t>
            </w:r>
            <w:r w:rsidRPr="009D65C9">
              <w:rPr>
                <w:sz w:val="20"/>
                <w:szCs w:val="20"/>
              </w:rPr>
              <w:t>?</w:t>
            </w:r>
          </w:p>
        </w:tc>
        <w:tc>
          <w:tcPr>
            <w:tcW w:w="6379" w:type="dxa"/>
          </w:tcPr>
          <w:p w14:paraId="1304FDF0" w14:textId="77777777" w:rsidR="009D65C9" w:rsidRPr="00974A75" w:rsidRDefault="009D65C9" w:rsidP="009D65C9">
            <w:pPr>
              <w:rPr>
                <w:sz w:val="20"/>
                <w:szCs w:val="20"/>
              </w:rPr>
            </w:pPr>
          </w:p>
        </w:tc>
      </w:tr>
      <w:tr w:rsidR="008A3780" w:rsidRPr="00974A75" w14:paraId="6425C9A5" w14:textId="77777777" w:rsidTr="00FB63FE">
        <w:trPr>
          <w:trHeight w:val="996"/>
        </w:trPr>
        <w:tc>
          <w:tcPr>
            <w:tcW w:w="3545" w:type="dxa"/>
            <w:shd w:val="clear" w:color="auto" w:fill="DEEAF6" w:themeFill="accent1" w:themeFillTint="33"/>
          </w:tcPr>
          <w:p w14:paraId="25CF7EBA" w14:textId="3599F80F" w:rsidR="008A3780" w:rsidRPr="009D65C9" w:rsidRDefault="008A3780" w:rsidP="009D65C9">
            <w:pPr>
              <w:rPr>
                <w:sz w:val="20"/>
                <w:szCs w:val="20"/>
              </w:rPr>
            </w:pPr>
            <w:r>
              <w:rPr>
                <w:sz w:val="20"/>
                <w:szCs w:val="20"/>
              </w:rPr>
              <w:t xml:space="preserve">Please note anything else that you feel may be applicable to report. </w:t>
            </w:r>
          </w:p>
        </w:tc>
        <w:tc>
          <w:tcPr>
            <w:tcW w:w="6379" w:type="dxa"/>
          </w:tcPr>
          <w:p w14:paraId="243D7106" w14:textId="77777777" w:rsidR="008A3780" w:rsidRPr="00974A75" w:rsidRDefault="008A3780" w:rsidP="009D65C9">
            <w:pPr>
              <w:rPr>
                <w:sz w:val="20"/>
                <w:szCs w:val="20"/>
              </w:rPr>
            </w:pPr>
          </w:p>
        </w:tc>
      </w:tr>
    </w:tbl>
    <w:p w14:paraId="5DA1B792" w14:textId="77777777" w:rsidR="009E34E4" w:rsidRDefault="009E34E4"/>
    <w:sectPr w:rsidR="009E34E4" w:rsidSect="00B126A4">
      <w:headerReference w:type="default" r:id="rId14"/>
      <w:footerReference w:type="default" r:id="rId15"/>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6866" w14:textId="77777777" w:rsidR="00B126A4" w:rsidRDefault="00B126A4" w:rsidP="0070635B">
      <w:pPr>
        <w:spacing w:after="0" w:line="240" w:lineRule="auto"/>
      </w:pPr>
      <w:r>
        <w:separator/>
      </w:r>
    </w:p>
  </w:endnote>
  <w:endnote w:type="continuationSeparator" w:id="0">
    <w:p w14:paraId="16694C3D" w14:textId="77777777" w:rsidR="00B126A4" w:rsidRDefault="00B126A4" w:rsidP="0070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GMNS U+ Clan">
    <w:altName w:val="Clan"/>
    <w:panose1 w:val="020B0604020202020204"/>
    <w:charset w:val="00"/>
    <w:family w:val="swiss"/>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160"/>
      <w:gridCol w:w="2700"/>
    </w:tblGrid>
    <w:tr w:rsidR="00DB3038" w:rsidRPr="006808D7" w14:paraId="30C4984E" w14:textId="77777777" w:rsidTr="00827088">
      <w:tc>
        <w:tcPr>
          <w:tcW w:w="4248" w:type="dxa"/>
        </w:tcPr>
        <w:p w14:paraId="16092532" w14:textId="66B1D097" w:rsidR="00DB3038" w:rsidRPr="006808D7" w:rsidRDefault="00DB3038" w:rsidP="00DB3038">
          <w:pPr>
            <w:pStyle w:val="Footer"/>
            <w:rPr>
              <w:sz w:val="20"/>
              <w:szCs w:val="20"/>
            </w:rPr>
          </w:pPr>
          <w:r w:rsidRPr="006808D7">
            <w:rPr>
              <w:sz w:val="20"/>
              <w:szCs w:val="20"/>
            </w:rPr>
            <w:t>IHC Duty of Candour Template for Providers</w:t>
          </w:r>
        </w:p>
      </w:tc>
      <w:tc>
        <w:tcPr>
          <w:tcW w:w="2160" w:type="dxa"/>
        </w:tcPr>
        <w:p w14:paraId="77E4B6CB" w14:textId="77777777" w:rsidR="00DB3038" w:rsidRPr="006808D7" w:rsidRDefault="00DB3038" w:rsidP="00DB3038">
          <w:pPr>
            <w:pStyle w:val="Footer"/>
            <w:rPr>
              <w:sz w:val="20"/>
              <w:szCs w:val="20"/>
            </w:rPr>
          </w:pPr>
          <w:r w:rsidRPr="006808D7">
            <w:rPr>
              <w:sz w:val="20"/>
              <w:szCs w:val="20"/>
            </w:rPr>
            <w:t>Version: 1.0</w:t>
          </w:r>
        </w:p>
      </w:tc>
      <w:tc>
        <w:tcPr>
          <w:tcW w:w="2700" w:type="dxa"/>
        </w:tcPr>
        <w:p w14:paraId="1C457C77" w14:textId="6DEBE933" w:rsidR="00DB3038" w:rsidRPr="006808D7" w:rsidRDefault="00DB3038" w:rsidP="006808D7">
          <w:pPr>
            <w:pStyle w:val="Footer"/>
            <w:rPr>
              <w:sz w:val="20"/>
              <w:szCs w:val="20"/>
            </w:rPr>
          </w:pPr>
          <w:r w:rsidRPr="006808D7">
            <w:rPr>
              <w:sz w:val="20"/>
              <w:szCs w:val="20"/>
            </w:rPr>
            <w:t xml:space="preserve">Date: </w:t>
          </w:r>
          <w:r w:rsidR="006808D7" w:rsidRPr="006808D7">
            <w:rPr>
              <w:sz w:val="20"/>
              <w:szCs w:val="20"/>
            </w:rPr>
            <w:t>19 February 2019</w:t>
          </w:r>
          <w:r w:rsidRPr="006808D7">
            <w:rPr>
              <w:sz w:val="20"/>
              <w:szCs w:val="20"/>
            </w:rPr>
            <w:t xml:space="preserve"> </w:t>
          </w:r>
        </w:p>
      </w:tc>
    </w:tr>
    <w:tr w:rsidR="00DB3038" w:rsidRPr="006808D7" w14:paraId="2FEEF6B8" w14:textId="77777777" w:rsidTr="00827088">
      <w:tc>
        <w:tcPr>
          <w:tcW w:w="4248" w:type="dxa"/>
        </w:tcPr>
        <w:p w14:paraId="0113AF39" w14:textId="77777777" w:rsidR="00DB3038" w:rsidRPr="006808D7" w:rsidRDefault="00DB3038" w:rsidP="00DB3038">
          <w:pPr>
            <w:pStyle w:val="Footer"/>
            <w:rPr>
              <w:sz w:val="20"/>
              <w:szCs w:val="20"/>
            </w:rPr>
          </w:pPr>
          <w:r w:rsidRPr="006808D7">
            <w:rPr>
              <w:sz w:val="20"/>
              <w:szCs w:val="20"/>
            </w:rPr>
            <w:t>Produced by: IHC team</w:t>
          </w:r>
        </w:p>
      </w:tc>
      <w:tc>
        <w:tcPr>
          <w:tcW w:w="2160" w:type="dxa"/>
        </w:tcPr>
        <w:p w14:paraId="6B35CABD" w14:textId="0143005E" w:rsidR="00DB3038" w:rsidRPr="006808D7" w:rsidRDefault="00DB3038" w:rsidP="00DB3038">
          <w:pPr>
            <w:pStyle w:val="Footer"/>
            <w:rPr>
              <w:sz w:val="20"/>
              <w:szCs w:val="20"/>
            </w:rPr>
          </w:pPr>
          <w:r w:rsidRPr="006808D7">
            <w:rPr>
              <w:sz w:val="20"/>
              <w:szCs w:val="20"/>
            </w:rPr>
            <w:t xml:space="preserve">Page </w:t>
          </w:r>
          <w:r w:rsidRPr="006808D7">
            <w:rPr>
              <w:sz w:val="20"/>
              <w:szCs w:val="20"/>
            </w:rPr>
            <w:fldChar w:fldCharType="begin"/>
          </w:r>
          <w:r w:rsidRPr="006808D7">
            <w:rPr>
              <w:sz w:val="20"/>
              <w:szCs w:val="20"/>
            </w:rPr>
            <w:instrText xml:space="preserve"> PAGE </w:instrText>
          </w:r>
          <w:r w:rsidRPr="006808D7">
            <w:rPr>
              <w:sz w:val="20"/>
              <w:szCs w:val="20"/>
            </w:rPr>
            <w:fldChar w:fldCharType="separate"/>
          </w:r>
          <w:r w:rsidR="00243788">
            <w:rPr>
              <w:noProof/>
              <w:sz w:val="20"/>
              <w:szCs w:val="20"/>
            </w:rPr>
            <w:t>2</w:t>
          </w:r>
          <w:r w:rsidRPr="006808D7">
            <w:rPr>
              <w:sz w:val="20"/>
              <w:szCs w:val="20"/>
            </w:rPr>
            <w:fldChar w:fldCharType="end"/>
          </w:r>
          <w:r w:rsidRPr="006808D7">
            <w:rPr>
              <w:sz w:val="20"/>
              <w:szCs w:val="20"/>
            </w:rPr>
            <w:t xml:space="preserve"> of </w:t>
          </w:r>
          <w:r w:rsidRPr="006808D7">
            <w:rPr>
              <w:sz w:val="20"/>
              <w:szCs w:val="20"/>
            </w:rPr>
            <w:fldChar w:fldCharType="begin"/>
          </w:r>
          <w:r w:rsidRPr="006808D7">
            <w:rPr>
              <w:sz w:val="20"/>
              <w:szCs w:val="20"/>
            </w:rPr>
            <w:instrText xml:space="preserve"> NUMPAGES </w:instrText>
          </w:r>
          <w:r w:rsidRPr="006808D7">
            <w:rPr>
              <w:sz w:val="20"/>
              <w:szCs w:val="20"/>
            </w:rPr>
            <w:fldChar w:fldCharType="separate"/>
          </w:r>
          <w:r w:rsidR="00243788">
            <w:rPr>
              <w:noProof/>
              <w:sz w:val="20"/>
              <w:szCs w:val="20"/>
            </w:rPr>
            <w:t>4</w:t>
          </w:r>
          <w:r w:rsidRPr="006808D7">
            <w:rPr>
              <w:sz w:val="20"/>
              <w:szCs w:val="20"/>
            </w:rPr>
            <w:fldChar w:fldCharType="end"/>
          </w:r>
        </w:p>
      </w:tc>
      <w:tc>
        <w:tcPr>
          <w:tcW w:w="2700" w:type="dxa"/>
        </w:tcPr>
        <w:p w14:paraId="09AF94DF" w14:textId="77777777" w:rsidR="00DB3038" w:rsidRPr="006808D7" w:rsidRDefault="00DB3038" w:rsidP="00DB3038">
          <w:pPr>
            <w:pStyle w:val="Footer"/>
            <w:rPr>
              <w:sz w:val="20"/>
              <w:szCs w:val="20"/>
            </w:rPr>
          </w:pPr>
          <w:r w:rsidRPr="006808D7">
            <w:rPr>
              <w:sz w:val="20"/>
              <w:szCs w:val="20"/>
            </w:rPr>
            <w:t xml:space="preserve">Review Date: Ongoing </w:t>
          </w:r>
        </w:p>
      </w:tc>
    </w:tr>
    <w:tr w:rsidR="00DB3038" w:rsidRPr="006808D7" w14:paraId="10215880" w14:textId="77777777" w:rsidTr="00827088">
      <w:tc>
        <w:tcPr>
          <w:tcW w:w="9108" w:type="dxa"/>
          <w:gridSpan w:val="3"/>
        </w:tcPr>
        <w:p w14:paraId="7D7BC429" w14:textId="77777777" w:rsidR="00DB3038" w:rsidRPr="006808D7" w:rsidRDefault="00DB3038" w:rsidP="00DB3038">
          <w:pPr>
            <w:pStyle w:val="Footer"/>
            <w:rPr>
              <w:sz w:val="20"/>
              <w:szCs w:val="20"/>
            </w:rPr>
          </w:pPr>
          <w:r w:rsidRPr="006808D7">
            <w:rPr>
              <w:sz w:val="20"/>
              <w:szCs w:val="20"/>
            </w:rPr>
            <w:t>Circulation type (internal/external): Both</w:t>
          </w:r>
        </w:p>
      </w:tc>
    </w:tr>
  </w:tbl>
  <w:p w14:paraId="13218E60" w14:textId="77777777" w:rsidR="00DB3038" w:rsidRDefault="00DB3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628F" w14:textId="77777777" w:rsidR="00B126A4" w:rsidRDefault="00B126A4" w:rsidP="0070635B">
      <w:pPr>
        <w:spacing w:after="0" w:line="240" w:lineRule="auto"/>
      </w:pPr>
      <w:r>
        <w:separator/>
      </w:r>
    </w:p>
  </w:footnote>
  <w:footnote w:type="continuationSeparator" w:id="0">
    <w:p w14:paraId="51527199" w14:textId="77777777" w:rsidR="00B126A4" w:rsidRDefault="00B126A4" w:rsidP="0070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0503" w14:textId="77777777" w:rsidR="0070635B" w:rsidRDefault="001E4126">
    <w:pPr>
      <w:pStyle w:val="Header"/>
    </w:pPr>
    <w:r>
      <w:rPr>
        <w:b/>
        <w:noProof/>
        <w:sz w:val="24"/>
        <w:szCs w:val="24"/>
        <w:lang w:eastAsia="en-GB"/>
      </w:rPr>
      <w:drawing>
        <wp:anchor distT="0" distB="0" distL="114300" distR="114300" simplePos="0" relativeHeight="251659264" behindDoc="0" locked="0" layoutInCell="1" allowOverlap="1" wp14:anchorId="75519B25" wp14:editId="56B9CCC8">
          <wp:simplePos x="0" y="0"/>
          <wp:positionH relativeFrom="margin">
            <wp:align>right</wp:align>
          </wp:positionH>
          <wp:positionV relativeFrom="margin">
            <wp:posOffset>-811530</wp:posOffset>
          </wp:positionV>
          <wp:extent cx="815975" cy="584200"/>
          <wp:effectExtent l="0" t="0" r="3175" b="6350"/>
          <wp:wrapNone/>
          <wp:docPr id="2" name="Picture 2" descr="Description: N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NH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887">
      <w:rPr>
        <w:noProof/>
        <w:lang w:eastAsia="en-GB"/>
      </w:rPr>
      <w:drawing>
        <wp:inline distT="0" distB="0" distL="0" distR="0" wp14:anchorId="30F1F5B1" wp14:editId="4D6B4365">
          <wp:extent cx="366522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65220" cy="647700"/>
                  </a:xfrm>
                  <a:prstGeom prst="rect">
                    <a:avLst/>
                  </a:prstGeom>
                  <a:noFill/>
                  <a:ln>
                    <a:noFill/>
                  </a:ln>
                </pic:spPr>
              </pic:pic>
            </a:graphicData>
          </a:graphic>
        </wp:inline>
      </w:drawing>
    </w:r>
  </w:p>
  <w:p w14:paraId="559E15C3" w14:textId="77777777" w:rsidR="0070635B" w:rsidRDefault="00706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D9A"/>
    <w:multiLevelType w:val="hybridMultilevel"/>
    <w:tmpl w:val="ABEE4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F30E2"/>
    <w:multiLevelType w:val="hybridMultilevel"/>
    <w:tmpl w:val="DAE89B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693555"/>
    <w:multiLevelType w:val="hybridMultilevel"/>
    <w:tmpl w:val="72F6AC54"/>
    <w:lvl w:ilvl="0" w:tplc="8CBA6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B4634"/>
    <w:multiLevelType w:val="multilevel"/>
    <w:tmpl w:val="F3D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31A68"/>
    <w:multiLevelType w:val="hybridMultilevel"/>
    <w:tmpl w:val="FE324956"/>
    <w:lvl w:ilvl="0" w:tplc="8CBA677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21F84"/>
    <w:multiLevelType w:val="hybridMultilevel"/>
    <w:tmpl w:val="76B44A00"/>
    <w:lvl w:ilvl="0" w:tplc="8CBA677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70191E"/>
    <w:multiLevelType w:val="hybridMultilevel"/>
    <w:tmpl w:val="7E04D22C"/>
    <w:lvl w:ilvl="0" w:tplc="8CBA677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5E37621"/>
    <w:multiLevelType w:val="hybridMultilevel"/>
    <w:tmpl w:val="362A5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405882">
    <w:abstractNumId w:val="3"/>
  </w:num>
  <w:num w:numId="2" w16cid:durableId="2133864568">
    <w:abstractNumId w:val="2"/>
  </w:num>
  <w:num w:numId="3" w16cid:durableId="2112821308">
    <w:abstractNumId w:val="0"/>
  </w:num>
  <w:num w:numId="4" w16cid:durableId="1139112398">
    <w:abstractNumId w:val="4"/>
  </w:num>
  <w:num w:numId="5" w16cid:durableId="1874493325">
    <w:abstractNumId w:val="6"/>
  </w:num>
  <w:num w:numId="6" w16cid:durableId="251936778">
    <w:abstractNumId w:val="5"/>
  </w:num>
  <w:num w:numId="7" w16cid:durableId="1826512446">
    <w:abstractNumId w:val="7"/>
  </w:num>
  <w:num w:numId="8" w16cid:durableId="134096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E4"/>
    <w:rsid w:val="00033BD3"/>
    <w:rsid w:val="00036985"/>
    <w:rsid w:val="000B2D73"/>
    <w:rsid w:val="0010297D"/>
    <w:rsid w:val="00140BFA"/>
    <w:rsid w:val="001D6C95"/>
    <w:rsid w:val="001E4126"/>
    <w:rsid w:val="00227761"/>
    <w:rsid w:val="00243788"/>
    <w:rsid w:val="002B4244"/>
    <w:rsid w:val="0045559F"/>
    <w:rsid w:val="00463756"/>
    <w:rsid w:val="004816E0"/>
    <w:rsid w:val="00492FAC"/>
    <w:rsid w:val="00595851"/>
    <w:rsid w:val="005F2D1C"/>
    <w:rsid w:val="005F576C"/>
    <w:rsid w:val="00641824"/>
    <w:rsid w:val="006808D7"/>
    <w:rsid w:val="006911FC"/>
    <w:rsid w:val="0070635B"/>
    <w:rsid w:val="00713563"/>
    <w:rsid w:val="008222AB"/>
    <w:rsid w:val="008A3780"/>
    <w:rsid w:val="00915D46"/>
    <w:rsid w:val="00974A75"/>
    <w:rsid w:val="009C7311"/>
    <w:rsid w:val="009D65C9"/>
    <w:rsid w:val="009E34E4"/>
    <w:rsid w:val="009E43BE"/>
    <w:rsid w:val="009E53B8"/>
    <w:rsid w:val="009E5678"/>
    <w:rsid w:val="00A06CB6"/>
    <w:rsid w:val="00A15CBA"/>
    <w:rsid w:val="00A85C96"/>
    <w:rsid w:val="00B126A4"/>
    <w:rsid w:val="00B46956"/>
    <w:rsid w:val="00B51367"/>
    <w:rsid w:val="00BF25DB"/>
    <w:rsid w:val="00BF5F3C"/>
    <w:rsid w:val="00CD6036"/>
    <w:rsid w:val="00D43173"/>
    <w:rsid w:val="00DB3038"/>
    <w:rsid w:val="00DF7EB3"/>
    <w:rsid w:val="00E045B8"/>
    <w:rsid w:val="00EA3B79"/>
    <w:rsid w:val="00EB2DE3"/>
    <w:rsid w:val="00F426CA"/>
    <w:rsid w:val="00FB63FE"/>
    <w:rsid w:val="00FF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1B99"/>
  <w15:chartTrackingRefBased/>
  <w15:docId w15:val="{D32E93E8-F6E7-44C3-9E9D-7B1001D1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4E4"/>
    <w:rPr>
      <w:color w:val="0563C1" w:themeColor="hyperlink"/>
      <w:u w:val="single"/>
    </w:rPr>
  </w:style>
  <w:style w:type="paragraph" w:styleId="ListParagraph">
    <w:name w:val="List Paragraph"/>
    <w:basedOn w:val="Normal"/>
    <w:uiPriority w:val="34"/>
    <w:qFormat/>
    <w:rsid w:val="009E34E4"/>
    <w:pPr>
      <w:ind w:left="720"/>
      <w:contextualSpacing/>
    </w:pPr>
  </w:style>
  <w:style w:type="character" w:styleId="FollowedHyperlink">
    <w:name w:val="FollowedHyperlink"/>
    <w:basedOn w:val="DefaultParagraphFont"/>
    <w:uiPriority w:val="99"/>
    <w:semiHidden/>
    <w:unhideWhenUsed/>
    <w:rsid w:val="002B4244"/>
    <w:rPr>
      <w:color w:val="954F72" w:themeColor="followedHyperlink"/>
      <w:u w:val="single"/>
    </w:rPr>
  </w:style>
  <w:style w:type="paragraph" w:styleId="NoSpacing">
    <w:name w:val="No Spacing"/>
    <w:uiPriority w:val="1"/>
    <w:qFormat/>
    <w:rsid w:val="00463756"/>
    <w:pPr>
      <w:spacing w:after="0" w:line="240" w:lineRule="auto"/>
    </w:pPr>
  </w:style>
  <w:style w:type="paragraph" w:customStyle="1" w:styleId="Pa6">
    <w:name w:val="Pa6"/>
    <w:basedOn w:val="Normal"/>
    <w:next w:val="Normal"/>
    <w:uiPriority w:val="99"/>
    <w:rsid w:val="00713563"/>
    <w:pPr>
      <w:autoSpaceDE w:val="0"/>
      <w:autoSpaceDN w:val="0"/>
      <w:adjustRightInd w:val="0"/>
      <w:spacing w:after="0" w:line="221" w:lineRule="atLeast"/>
    </w:pPr>
    <w:rPr>
      <w:rFonts w:ascii="GGMNS U+ Clan" w:hAnsi="GGMNS U+ Clan"/>
      <w:sz w:val="24"/>
      <w:szCs w:val="24"/>
    </w:rPr>
  </w:style>
  <w:style w:type="paragraph" w:styleId="Header">
    <w:name w:val="header"/>
    <w:basedOn w:val="Normal"/>
    <w:link w:val="HeaderChar"/>
    <w:uiPriority w:val="99"/>
    <w:unhideWhenUsed/>
    <w:rsid w:val="00706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35B"/>
  </w:style>
  <w:style w:type="paragraph" w:styleId="Footer">
    <w:name w:val="footer"/>
    <w:basedOn w:val="Normal"/>
    <w:link w:val="FooterChar"/>
    <w:unhideWhenUsed/>
    <w:rsid w:val="0070635B"/>
    <w:pPr>
      <w:tabs>
        <w:tab w:val="center" w:pos="4513"/>
        <w:tab w:val="right" w:pos="9026"/>
      </w:tabs>
      <w:spacing w:after="0" w:line="240" w:lineRule="auto"/>
    </w:pPr>
  </w:style>
  <w:style w:type="character" w:customStyle="1" w:styleId="FooterChar">
    <w:name w:val="Footer Char"/>
    <w:basedOn w:val="DefaultParagraphFont"/>
    <w:link w:val="Footer"/>
    <w:rsid w:val="0070635B"/>
  </w:style>
  <w:style w:type="character" w:styleId="CommentReference">
    <w:name w:val="annotation reference"/>
    <w:basedOn w:val="DefaultParagraphFont"/>
    <w:uiPriority w:val="99"/>
    <w:semiHidden/>
    <w:unhideWhenUsed/>
    <w:rsid w:val="001E4126"/>
    <w:rPr>
      <w:sz w:val="16"/>
      <w:szCs w:val="16"/>
    </w:rPr>
  </w:style>
  <w:style w:type="paragraph" w:styleId="CommentText">
    <w:name w:val="annotation text"/>
    <w:basedOn w:val="Normal"/>
    <w:link w:val="CommentTextChar"/>
    <w:uiPriority w:val="99"/>
    <w:unhideWhenUsed/>
    <w:rsid w:val="001E4126"/>
    <w:pPr>
      <w:spacing w:line="240" w:lineRule="auto"/>
    </w:pPr>
    <w:rPr>
      <w:sz w:val="20"/>
      <w:szCs w:val="20"/>
    </w:rPr>
  </w:style>
  <w:style w:type="character" w:customStyle="1" w:styleId="CommentTextChar">
    <w:name w:val="Comment Text Char"/>
    <w:basedOn w:val="DefaultParagraphFont"/>
    <w:link w:val="CommentText"/>
    <w:uiPriority w:val="99"/>
    <w:rsid w:val="001E4126"/>
    <w:rPr>
      <w:sz w:val="20"/>
      <w:szCs w:val="20"/>
    </w:rPr>
  </w:style>
  <w:style w:type="paragraph" w:styleId="CommentSubject">
    <w:name w:val="annotation subject"/>
    <w:basedOn w:val="CommentText"/>
    <w:next w:val="CommentText"/>
    <w:link w:val="CommentSubjectChar"/>
    <w:uiPriority w:val="99"/>
    <w:semiHidden/>
    <w:unhideWhenUsed/>
    <w:rsid w:val="001E4126"/>
    <w:rPr>
      <w:b/>
      <w:bCs/>
    </w:rPr>
  </w:style>
  <w:style w:type="character" w:customStyle="1" w:styleId="CommentSubjectChar">
    <w:name w:val="Comment Subject Char"/>
    <w:basedOn w:val="CommentTextChar"/>
    <w:link w:val="CommentSubject"/>
    <w:uiPriority w:val="99"/>
    <w:semiHidden/>
    <w:rsid w:val="001E4126"/>
    <w:rPr>
      <w:b/>
      <w:bCs/>
      <w:sz w:val="20"/>
      <w:szCs w:val="20"/>
    </w:rPr>
  </w:style>
  <w:style w:type="paragraph" w:styleId="BalloonText">
    <w:name w:val="Balloon Text"/>
    <w:basedOn w:val="Normal"/>
    <w:link w:val="BalloonTextChar"/>
    <w:uiPriority w:val="99"/>
    <w:semiHidden/>
    <w:unhideWhenUsed/>
    <w:rsid w:val="001E4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126"/>
    <w:rPr>
      <w:rFonts w:ascii="Segoe UI" w:hAnsi="Segoe UI" w:cs="Segoe UI"/>
      <w:sz w:val="18"/>
      <w:szCs w:val="18"/>
    </w:rPr>
  </w:style>
  <w:style w:type="table" w:styleId="TableGrid">
    <w:name w:val="Table Grid"/>
    <w:basedOn w:val="TableNormal"/>
    <w:uiPriority w:val="39"/>
    <w:rsid w:val="0069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19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57089">
      <w:bodyDiv w:val="1"/>
      <w:marLeft w:val="0"/>
      <w:marRight w:val="0"/>
      <w:marTop w:val="0"/>
      <w:marBottom w:val="0"/>
      <w:divBdr>
        <w:top w:val="none" w:sz="0" w:space="0" w:color="auto"/>
        <w:left w:val="none" w:sz="0" w:space="0" w:color="auto"/>
        <w:bottom w:val="none" w:sz="0" w:space="0" w:color="auto"/>
        <w:right w:val="none" w:sz="0" w:space="0" w:color="auto"/>
      </w:divBdr>
    </w:div>
    <w:div w:id="1317144874">
      <w:bodyDiv w:val="1"/>
      <w:marLeft w:val="0"/>
      <w:marRight w:val="0"/>
      <w:marTop w:val="0"/>
      <w:marBottom w:val="0"/>
      <w:divBdr>
        <w:top w:val="none" w:sz="0" w:space="0" w:color="auto"/>
        <w:left w:val="none" w:sz="0" w:space="0" w:color="auto"/>
        <w:bottom w:val="none" w:sz="0" w:space="0" w:color="auto"/>
        <w:right w:val="none" w:sz="0" w:space="0" w:color="auto"/>
      </w:divBdr>
      <w:divsChild>
        <w:div w:id="2008439112">
          <w:marLeft w:val="0"/>
          <w:marRight w:val="0"/>
          <w:marTop w:val="0"/>
          <w:marBottom w:val="0"/>
          <w:divBdr>
            <w:top w:val="none" w:sz="0" w:space="0" w:color="auto"/>
            <w:left w:val="none" w:sz="0" w:space="0" w:color="auto"/>
            <w:bottom w:val="none" w:sz="0" w:space="0" w:color="auto"/>
            <w:right w:val="none" w:sz="0" w:space="0" w:color="auto"/>
          </w:divBdr>
          <w:divsChild>
            <w:div w:id="500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scot/Resource/0053/0053347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scot/Topics/Health/Policy/Duty-of-Cando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scot/Resource/0053/0053347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924c97d977464baf95912035c3d8ed xmlns="4ef434dc-f6ea-4574-b5f9-fbabf10f4f2f">
      <Terms xmlns="http://schemas.microsoft.com/office/infopath/2007/PartnerControls"/>
    </ca924c97d977464baf95912035c3d8ed>
    <TaxCatchAll xmlns="aabe36bc-b7d2-4055-bce5-a2f92fe8c042"/>
    <_dlc_DocId xmlns="06d4caf3-f00a-4a31-bbf4-33cb9c828844">TSXAM7VPQRH6-4-1130</_dlc_DocId>
    <_dlc_DocIdUrl xmlns="06d4caf3-f00a-4a31-bbf4-33cb9c828844">
      <Url>http://crmapp01/sites/Inspections/_layouts/DocIdRedir.aspx?ID=TSXAM7VPQRH6-4-1130</Url>
      <Description>TSXAM7VPQRH6-4-1130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5BC1D0AF5997408BCC796C9AE98549" ma:contentTypeVersion="3" ma:contentTypeDescription="Create a new document." ma:contentTypeScope="" ma:versionID="1678e16476ea7caa8dd2ca72305bc9bc">
  <xsd:schema xmlns:xsd="http://www.w3.org/2001/XMLSchema" xmlns:xs="http://www.w3.org/2001/XMLSchema" xmlns:p="http://schemas.microsoft.com/office/2006/metadata/properties" xmlns:ns2="4ef434dc-f6ea-4574-b5f9-fbabf10f4f2f" xmlns:ns3="aabe36bc-b7d2-4055-bce5-a2f92fe8c042" xmlns:ns4="06d4caf3-f00a-4a31-bbf4-33cb9c828844" targetNamespace="http://schemas.microsoft.com/office/2006/metadata/properties" ma:root="true" ma:fieldsID="3cb761b73e6d8079ee3b77b5be11412d" ns2:_="" ns3:_="" ns4:_="">
    <xsd:import namespace="4ef434dc-f6ea-4574-b5f9-fbabf10f4f2f"/>
    <xsd:import namespace="aabe36bc-b7d2-4055-bce5-a2f92fe8c042"/>
    <xsd:import namespace="06d4caf3-f00a-4a31-bbf4-33cb9c828844"/>
    <xsd:element name="properties">
      <xsd:complexType>
        <xsd:sequence>
          <xsd:element name="documentManagement">
            <xsd:complexType>
              <xsd:all>
                <xsd:element ref="ns2:ca924c97d977464baf95912035c3d8ed" minOccurs="0"/>
                <xsd:element ref="ns3: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434dc-f6ea-4574-b5f9-fbabf10f4f2f" elementFormDefault="qualified">
    <xsd:import namespace="http://schemas.microsoft.com/office/2006/documentManagement/types"/>
    <xsd:import namespace="http://schemas.microsoft.com/office/infopath/2007/PartnerControls"/>
    <xsd:element name="ca924c97d977464baf95912035c3d8ed" ma:index="9" nillable="true" ma:taxonomy="true" ma:internalName="ca924c97d977464baf95912035c3d8ed" ma:taxonomyFieldName="DocumentType" ma:displayName="DocumentType" ma:default="" ma:fieldId="{ca924c97-d977-464b-af95-912035c3d8ed}" ma:sspId="5749cc82-0d65-484e-91e1-416920c4f424" ma:termSetId="38ea0cb3-fdbf-4b7c-a69f-6cc9f525e083" ma:anchorId="38ea0cb3-fdbf-4b7c-a69f-6cc9f525e08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be36bc-b7d2-4055-bce5-a2f92fe8c04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3d99ef-bc0c-48fd-a6e4-3e97e2d7926d}" ma:internalName="TaxCatchAll" ma:showField="CatchAllData" ma:web="06d4caf3-f00a-4a31-bbf4-33cb9c828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d4caf3-f00a-4a31-bbf4-33cb9c828844"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98C9EC-DE68-4C7A-8FBB-0D72D9438D9B}">
  <ds:schemaRefs>
    <ds:schemaRef ds:uri="http://schemas.microsoft.com/sharepoint/v3/contenttype/forms"/>
  </ds:schemaRefs>
</ds:datastoreItem>
</file>

<file path=customXml/itemProps2.xml><?xml version="1.0" encoding="utf-8"?>
<ds:datastoreItem xmlns:ds="http://schemas.openxmlformats.org/officeDocument/2006/customXml" ds:itemID="{101CC456-665D-4487-A56D-C47F24E435B2}">
  <ds:schemaRefs>
    <ds:schemaRef ds:uri="http://schemas.microsoft.com/office/2006/metadata/properties"/>
    <ds:schemaRef ds:uri="http://schemas.microsoft.com/office/infopath/2007/PartnerControls"/>
    <ds:schemaRef ds:uri="4ef434dc-f6ea-4574-b5f9-fbabf10f4f2f"/>
    <ds:schemaRef ds:uri="aabe36bc-b7d2-4055-bce5-a2f92fe8c042"/>
    <ds:schemaRef ds:uri="06d4caf3-f00a-4a31-bbf4-33cb9c828844"/>
  </ds:schemaRefs>
</ds:datastoreItem>
</file>

<file path=customXml/itemProps3.xml><?xml version="1.0" encoding="utf-8"?>
<ds:datastoreItem xmlns:ds="http://schemas.openxmlformats.org/officeDocument/2006/customXml" ds:itemID="{C76EAF2F-0A13-4A59-B612-A1B16A316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434dc-f6ea-4574-b5f9-fbabf10f4f2f"/>
    <ds:schemaRef ds:uri="aabe36bc-b7d2-4055-bce5-a2f92fe8c042"/>
    <ds:schemaRef ds:uri="06d4caf3-f00a-4a31-bbf4-33cb9c828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5B6A4-F6E0-4E34-A597-D3F5151051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Martin</dc:creator>
  <cp:keywords/>
  <dc:description/>
  <cp:lastModifiedBy>Cemal Kavasogullari</cp:lastModifiedBy>
  <cp:revision>3</cp:revision>
  <dcterms:created xsi:type="dcterms:W3CDTF">2023-06-13T18:22:00Z</dcterms:created>
  <dcterms:modified xsi:type="dcterms:W3CDTF">2024-01-10T13:48:00Z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0x010100495BC1D0AF5997408BCC796C9AE98549</vt:lpwstr>
  </property>
  <property fmtid="{D5CDD505-2E9C-101B-9397-08002B2CF9AE}" pid="3" name="_dlc_DocIdItemGuid">
    <vt:lpwstr>04c6037e-a917-4207-a6fd-9490d1380565</vt:lpwstr>
  </property>
  <property fmtid="{D5CDD505-2E9C-101B-9397-08002B2CF9AE}" pid="4" name="DocumentType">
    <vt:lpwstr/>
  </property>
</Properties>
</file>